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/>
          <w:b/>
          <w:color w:val="auto"/>
          <w:sz w:val="32"/>
          <w:szCs w:val="32"/>
          <w:highlight w:val="none"/>
        </w:rPr>
      </w:pPr>
      <w:r>
        <w:rPr>
          <w:rFonts w:ascii="Times New Roman" w:hAnsi="Times New Roman"/>
          <w:b/>
          <w:color w:val="auto"/>
          <w:sz w:val="32"/>
          <w:szCs w:val="32"/>
          <w:highlight w:val="none"/>
        </w:rPr>
        <w:t>201</w:t>
      </w:r>
      <w:r>
        <w:rPr>
          <w:rFonts w:hint="eastAsia" w:ascii="Times New Roman" w:hAnsi="Times New Roman"/>
          <w:b/>
          <w:color w:val="auto"/>
          <w:sz w:val="32"/>
          <w:szCs w:val="32"/>
          <w:highlight w:val="none"/>
        </w:rPr>
        <w:t>6</w:t>
      </w:r>
      <w:r>
        <w:rPr>
          <w:rFonts w:ascii="Times New Roman" w:hAnsi="Times New Roman"/>
          <w:b/>
          <w:color w:val="auto"/>
          <w:sz w:val="32"/>
          <w:szCs w:val="32"/>
          <w:highlight w:val="none"/>
        </w:rPr>
        <w:t>至201</w:t>
      </w:r>
      <w:r>
        <w:rPr>
          <w:rFonts w:hint="eastAsia" w:ascii="Times New Roman" w:hAnsi="Times New Roman"/>
          <w:b/>
          <w:color w:val="auto"/>
          <w:sz w:val="32"/>
          <w:szCs w:val="32"/>
          <w:highlight w:val="none"/>
        </w:rPr>
        <w:t>7</w:t>
      </w:r>
      <w:r>
        <w:rPr>
          <w:rFonts w:ascii="Times New Roman" w:hAnsi="Times New Roman"/>
          <w:b/>
          <w:color w:val="auto"/>
          <w:sz w:val="32"/>
          <w:szCs w:val="32"/>
          <w:highlight w:val="none"/>
        </w:rPr>
        <w:t>学年度广东工业大学土木与交通工程学院</w:t>
      </w: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32"/>
          <w:szCs w:val="32"/>
          <w:highlight w:val="none"/>
        </w:rPr>
      </w:pPr>
      <w:r>
        <w:rPr>
          <w:rFonts w:ascii="Times New Roman" w:hAnsi="Times New Roman"/>
          <w:b/>
          <w:color w:val="auto"/>
          <w:sz w:val="32"/>
          <w:szCs w:val="32"/>
          <w:highlight w:val="none"/>
        </w:rPr>
        <w:t>综合素质测评加分细则与奖学金评定办法</w:t>
      </w: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highlight w:val="none"/>
        </w:rPr>
      </w:pPr>
      <w:r>
        <w:rPr>
          <w:rFonts w:ascii="Times New Roman" w:hAnsi="Times New Roman"/>
          <w:b/>
          <w:color w:val="auto"/>
          <w:sz w:val="28"/>
          <w:highlight w:val="none"/>
        </w:rPr>
        <w:t>总  则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第一条 凡具有本校学籍的全日制本专科在校学生，均有参加综合素质测评的权利和义务。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第二条 综合素质测评是对学生综合素质的全面测定与评价，务必坚持实事求是原则，做到公开、公平、公正，力求科学、准确反映学生的综合素质。如发现弄虚作假者，取消当年一切评优（奖）资格。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第三条 学生综合素质测评成绩包括品德表现评价、学业成绩考核、创新实践评价、社会实践评价、文体实践评价五个方面，测评结果作为学校申请学校相应各项奖学金的依据。其中，品德表现评价（D）单独按100分计算，作为申请各类奖学金的首要条件；其他四项评价的总积分（设为P）作为年度奖学金评定的排名依据，总积分P由学业成绩考核分（X）、创新实践评价分（C）、社会实践评价分（S）和文体实践评价分（W）四个部分组成，计算公式如下：P= X×70%＋C×15%＋S×10%+W×5%。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第四条 各班级应成立综合素质测评与先进个人评议小组，小组由班主任主持，由班长、团支书和经民主推选出的学生代表共7名组成（其中至少一名女生代表，没有女生的班级除外）。班测评小组的任务是：负责核实学生的各项素质表现，给予更正或补充，根据本评定办法及加分细则给予评议和打分，核实各项计分后呈交学院综合测评领导小组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第五条 奖学金申请资格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（一）全日制在校生中二年级以上（含二年级）的本专科学生，已经办理缴费注册手续。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（二）遵守国家法律法规和校纪校规，测评学年内没有违法违纪行为、没有受到任何处分。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（三）品德表现评价良好，品德表现评价分不低于80分。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当其他四项（学业成绩考核、创新实践评价、社会实践评价、文体实践评价）评价的总积分相同时，以</w:t>
      </w:r>
      <w:r>
        <w:rPr>
          <w:rFonts w:hint="eastAsia" w:ascii="Times New Roman" w:hAnsi="Times New Roman"/>
          <w:color w:val="auto"/>
          <w:sz w:val="24"/>
          <w:highlight w:val="none"/>
        </w:rPr>
        <w:t>“</w:t>
      </w:r>
      <w:r>
        <w:rPr>
          <w:rFonts w:ascii="Times New Roman" w:hAnsi="Times New Roman"/>
          <w:color w:val="auto"/>
          <w:sz w:val="24"/>
          <w:highlight w:val="none"/>
        </w:rPr>
        <w:t>品德表现评价</w:t>
      </w:r>
      <w:r>
        <w:rPr>
          <w:rFonts w:hint="eastAsia" w:ascii="Times New Roman" w:hAnsi="Times New Roman"/>
          <w:color w:val="auto"/>
          <w:sz w:val="24"/>
          <w:highlight w:val="none"/>
        </w:rPr>
        <w:t>”</w:t>
      </w:r>
      <w:r>
        <w:rPr>
          <w:rFonts w:ascii="Times New Roman" w:hAnsi="Times New Roman"/>
          <w:color w:val="auto"/>
          <w:sz w:val="24"/>
          <w:highlight w:val="none"/>
        </w:rPr>
        <w:t>得分确定排序，品德表现评价分高者排前。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（四）本学年内没有不及格科目（公选课，双专业及辅修除外），以首次考试成绩为准。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（五）体育方面达到国家锻炼标准（因身体原因，经批准免修体育课学分者外）。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（六）积极参加社会实践，表现良好。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（七）申请优秀学生干部奖学金者，须任职满一年，工作积极，业绩突出，在校风、学风建设中起带头作用，得到同学们普遍肯定。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第六条 评奖原则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学校奖学金的评定坚持</w:t>
      </w:r>
      <w:r>
        <w:rPr>
          <w:rFonts w:hint="eastAsia" w:ascii="Times New Roman" w:hAnsi="Times New Roman"/>
          <w:color w:val="auto"/>
          <w:sz w:val="24"/>
          <w:highlight w:val="none"/>
        </w:rPr>
        <w:t>“</w:t>
      </w:r>
      <w:r>
        <w:rPr>
          <w:rFonts w:ascii="Times New Roman" w:hAnsi="Times New Roman"/>
          <w:color w:val="auto"/>
          <w:sz w:val="24"/>
          <w:highlight w:val="none"/>
        </w:rPr>
        <w:t>规范管理、严格标准、客观公正、民主公开、择优评定、按绩施奖</w:t>
      </w:r>
      <w:r>
        <w:rPr>
          <w:rFonts w:hint="eastAsia" w:ascii="Times New Roman" w:hAnsi="Times New Roman"/>
          <w:color w:val="auto"/>
          <w:sz w:val="24"/>
          <w:highlight w:val="none"/>
        </w:rPr>
        <w:t>”</w:t>
      </w:r>
      <w:r>
        <w:rPr>
          <w:rFonts w:ascii="Times New Roman" w:hAnsi="Times New Roman"/>
          <w:color w:val="auto"/>
          <w:sz w:val="24"/>
          <w:highlight w:val="none"/>
        </w:rPr>
        <w:t>原则。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第七条 评奖项目及比例</w:t>
      </w:r>
      <w:r>
        <w:rPr>
          <w:rFonts w:hint="eastAsia" w:ascii="Times New Roman" w:hAnsi="Times New Roman"/>
          <w:color w:val="auto"/>
          <w:sz w:val="24"/>
          <w:highlight w:val="none"/>
        </w:rPr>
        <w:t>（</w:t>
      </w:r>
      <w:r>
        <w:rPr>
          <w:rFonts w:ascii="Times New Roman" w:hAnsi="Times New Roman"/>
          <w:color w:val="auto"/>
          <w:sz w:val="24"/>
          <w:highlight w:val="none"/>
        </w:rPr>
        <w:t>名额以学院最终确定为准</w:t>
      </w:r>
      <w:r>
        <w:rPr>
          <w:rFonts w:hint="eastAsia" w:ascii="Times New Roman" w:hAnsi="Times New Roman"/>
          <w:color w:val="auto"/>
          <w:sz w:val="24"/>
          <w:highlight w:val="none"/>
        </w:rPr>
        <w:t>）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（一）学校设立优秀学生奖学金，</w:t>
      </w:r>
      <w:r>
        <w:rPr>
          <w:rFonts w:hint="eastAsia" w:ascii="Times New Roman" w:hAnsi="Times New Roman"/>
          <w:color w:val="auto"/>
          <w:sz w:val="24"/>
          <w:highlight w:val="none"/>
        </w:rPr>
        <w:t>获奖学生人数控制在本学院参加综合测评学生人数的28%之内，各等获奖人数</w:t>
      </w:r>
      <w:r>
        <w:rPr>
          <w:rFonts w:ascii="Times New Roman" w:hAnsi="Times New Roman"/>
          <w:color w:val="auto"/>
          <w:sz w:val="24"/>
          <w:highlight w:val="none"/>
        </w:rPr>
        <w:t>比例如下：一等奖学金（2000元/人），</w:t>
      </w:r>
      <w:r>
        <w:rPr>
          <w:rFonts w:hint="eastAsia" w:ascii="Times New Roman" w:hAnsi="Times New Roman"/>
          <w:color w:val="auto"/>
          <w:sz w:val="24"/>
          <w:highlight w:val="none"/>
        </w:rPr>
        <w:t>不超过本学院参加综合测评学生人数的3%</w:t>
      </w:r>
      <w:r>
        <w:rPr>
          <w:rFonts w:ascii="Times New Roman" w:hAnsi="Times New Roman"/>
          <w:color w:val="auto"/>
          <w:sz w:val="24"/>
          <w:highlight w:val="none"/>
        </w:rPr>
        <w:t>；二等奖学金（1000元/人），</w:t>
      </w:r>
      <w:r>
        <w:rPr>
          <w:rFonts w:hint="eastAsia" w:ascii="Times New Roman" w:hAnsi="Times New Roman"/>
          <w:color w:val="auto"/>
          <w:sz w:val="24"/>
          <w:highlight w:val="none"/>
        </w:rPr>
        <w:t>不超过本学院参加综合测评学生人数的10%</w:t>
      </w:r>
      <w:r>
        <w:rPr>
          <w:rFonts w:ascii="Times New Roman" w:hAnsi="Times New Roman"/>
          <w:color w:val="auto"/>
          <w:sz w:val="24"/>
          <w:highlight w:val="none"/>
        </w:rPr>
        <w:t>；三等奖学金（600元/人），</w:t>
      </w:r>
      <w:r>
        <w:rPr>
          <w:rFonts w:hint="eastAsia" w:ascii="Times New Roman" w:hAnsi="Times New Roman"/>
          <w:color w:val="auto"/>
          <w:sz w:val="24"/>
          <w:highlight w:val="none"/>
        </w:rPr>
        <w:t>不超过本学院参加综合测评学生人数的15%。获奖人数由学生处按学院总人数按比例测算后分配，在此基础上各年级获奖人数依据各年级总人数按比例测算得出。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（二）优秀学生干部奖学金（200元/人），不超过学院人数2.7%，院级与校级的优秀学生干部不重复评选。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（三）学习标兵奖学金（500元/人），不超过班级人数2%。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四）学生创新奖学金（500元/人）、学业进步奖学金（100元/人）、校园文艺菁英奖学金（个人项目200元，集体项目500元）、社会实践菁英奖学金（个人项目200元，集体项目500元），由学生提出申请，学院根据评选条件推荐上报，由学校审批确定获奖</w:t>
      </w:r>
      <w:r>
        <w:rPr>
          <w:rFonts w:hint="eastAsia" w:ascii="Times New Roman" w:hAnsi="Times New Roman"/>
          <w:color w:val="auto"/>
          <w:sz w:val="24"/>
          <w:highlight w:val="none"/>
        </w:rPr>
        <w:t>最终名单</w:t>
      </w:r>
      <w:r>
        <w:rPr>
          <w:rFonts w:ascii="Times New Roman" w:hAnsi="Times New Roman"/>
          <w:color w:val="auto"/>
          <w:sz w:val="24"/>
          <w:highlight w:val="none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第八条 评奖条件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（一）优秀学生奖学金：综合素质测评中总分（P）条件为，一等奖必须居本测评单位前8%，二等奖居本测评单位前20%，三等奖居本测评单位前40%。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（二）学习标兵奖学金：综合素质测评中总分（P）居本测评单位前50%，学年学业成绩考核积分居本测评单位前2%。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（三）优秀学生干部奖学金：综合素质测评中总分（P）在全班排名50%以内，品德表现评价分不低于85分。</w:t>
      </w:r>
    </w:p>
    <w:p>
      <w:pPr>
        <w:spacing w:line="360" w:lineRule="auto"/>
        <w:ind w:firstLine="480" w:firstLineChars="200"/>
        <w:rPr>
          <w:rFonts w:ascii="Times New Roman" w:hAnsi="Times New Roman"/>
          <w:b w:val="0"/>
          <w:bCs/>
          <w:color w:val="auto"/>
          <w:sz w:val="24"/>
          <w:highlight w:val="none"/>
          <w:u w:val="none"/>
        </w:rPr>
      </w:pPr>
      <w:r>
        <w:rPr>
          <w:rFonts w:hint="eastAsia" w:ascii="Times New Roman" w:hAnsi="Times New Roman"/>
          <w:b w:val="0"/>
          <w:bCs/>
          <w:color w:val="auto"/>
          <w:sz w:val="24"/>
          <w:highlight w:val="none"/>
          <w:u w:val="none"/>
        </w:rPr>
        <w:t>说明：2015级、2016级以专业为测评单位；2014级仍以兄弟班为测评单位，独立一班的专业以班级为测评单位。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优秀学生干部参评对象为：学院（学校）团委、学生会、社团联合会、红十字会、青年志愿者协会、艺术团、心理健康协会、青春健康协会、广播台等干部；党团支部委员、班干部、学生工作助理；学校学生社团副会（团）长以上干部；国防生模拟训练营和国防生团总支主要干部；等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（四）学业进步奖学金：本学年学业成绩考核积分（X）班级排名比上一学年进步10名以上（含10名）。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（五）学生创新奖学金：满足以下条件之一，所有条件必须在评审年度获得。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1. 个人或团体在国家级科技学术竞赛或科研成果荣获二等奖（或第二名）以上（含二等奖或第二名）。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 xml:space="preserve">2. 个人或团体在省级科技学术竞赛或科研成果荣获一等奖（或第一名）以上（含一等奖或第一名）。 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3. 本人为第一作者或以导师为第一作者，本人为第二作者在三大索引（SCI、EI、ISTP）或国家核心刊物发表学术论文或论著。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4. 本人为第一作者或以导师为第一作者，本人为第二作者在被授予专利，专利包括发明专利和实用新型专利。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（六）校园文艺菁英奖学金：个人或团体在获得文体类省级一等奖（或第一名）以上（含一等奖或第一名）表彰奖励。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（七）社会实践菁英奖学金：积极参加社会实践和志愿服务活动，个人或团体在获省级以上的表彰奖励。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第九条 评奖办法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一）奖学金评定在学生年度总结和综合素质测评的基础上进行，采用学生申请，学院审核、学校审批的办法，申请学生还需按要求在学生管理信息系统中进行相关网络申请。学生本人虽具备评选资格和评选条件但不提出申请者，视为弃权。</w:t>
      </w:r>
    </w:p>
    <w:p>
      <w:pPr>
        <w:spacing w:line="360" w:lineRule="auto"/>
        <w:ind w:firstLine="480" w:firstLineChars="200"/>
        <w:rPr>
          <w:rFonts w:ascii="Times New Roman" w:hAnsi="Times New Roman"/>
          <w:b/>
          <w:color w:val="auto"/>
          <w:sz w:val="28"/>
          <w:szCs w:val="28"/>
          <w:highlight w:val="none"/>
        </w:rPr>
        <w:sectPr>
          <w:pgSz w:w="11906" w:h="16838"/>
          <w:pgMar w:top="1701" w:right="1134" w:bottom="1701" w:left="1134" w:header="851" w:footer="992" w:gutter="0"/>
          <w:cols w:space="0" w:num="1"/>
          <w:docGrid w:type="lines" w:linePitch="312" w:charSpace="0"/>
        </w:sectPr>
      </w:pPr>
      <w:r>
        <w:rPr>
          <w:rFonts w:ascii="Times New Roman" w:hAnsi="Times New Roman"/>
          <w:color w:val="auto"/>
          <w:sz w:val="24"/>
          <w:highlight w:val="none"/>
        </w:rPr>
        <w:t>（</w:t>
      </w:r>
      <w:r>
        <w:rPr>
          <w:rFonts w:hint="eastAsia" w:ascii="Times New Roman" w:hAnsi="Times New Roman"/>
          <w:color w:val="auto"/>
          <w:sz w:val="24"/>
          <w:highlight w:val="none"/>
        </w:rPr>
        <w:t>二</w:t>
      </w:r>
      <w:r>
        <w:rPr>
          <w:rFonts w:ascii="Times New Roman" w:hAnsi="Times New Roman"/>
          <w:color w:val="auto"/>
          <w:sz w:val="24"/>
          <w:highlight w:val="none"/>
        </w:rPr>
        <w:t>）班级综合素质测评小组核实对本班同学综合测评结果，奖学金评奖资格及奖学金申请表，拟定班级获奖名单，报学院进行三天公示。公示期间，学生可向学院综合素质测评领导小组提出质疑，如属实，应予更正，并重新公示，三天内如无异议，学院将名单上报学校，确定最终名单。</w:t>
      </w: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b/>
          <w:color w:val="auto"/>
          <w:sz w:val="28"/>
          <w:szCs w:val="28"/>
          <w:highlight w:val="none"/>
        </w:rPr>
        <w:t>第一部分 品德表现评价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品德表现评价分D是对学生思想品质、集体观念、学习态度、组织纪律、社会实践等方面进行测评，由基本分D1、加分D2和扣分D3三部分组成，满分为100分，80分为良好。80分以上（包括80分）方可申请各类奖学金。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学年品德素质测评积分D计算公式如下：D=D1+D2-D3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一、学年品德表现评价基本分D1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学年品德表现评价基本分满分为90分，由学生个人自我评价、班评议小组评价、班主任评价构成，分别占20%、40%、40%，综合得出D1。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一）学生个人自我评价，每位同学均对自己进行自我评价，分别从思想品质（15分）、学习态度（15分）、集体观念（15分）、组织纪律（15分）、社会实践（15分）、生活作风（15分）六方面进行打分，每一方面最高不超过15分，以0.1分为最小单位计算。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（二）测评小组综合评价，班上按规定选出7人组成测评小组，并依据以上六方面对班上所有同学再次进行评分（评定测评小组内成员时，被评定者须回避），取平均总分为此部分分数。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（三）班主任对班上所有同学进行评分。</w:t>
      </w:r>
    </w:p>
    <w:p>
      <w:pPr>
        <w:spacing w:line="360" w:lineRule="auto"/>
        <w:ind w:firstLine="484" w:firstLineChars="202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（四）考核标准：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1．严格遵守国家法律、学校各项管理制度和大学生行为规范；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2．诚实守信，爱护集体，关心他人，具有良好的思想品德和行为习惯；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3．积极向上，勤奋学习，不旷课，认真完成规定学业；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4．主动参加校园文化、社会实践、体育锻炼和文艺活动；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5．积极参加各种集体活动、公益劳动、志愿服务；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6．按规定缴纳学费及有关费用。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符合以上条件可得满分，不符合者可由学院根据学生实际进行扣分，扣分不超过10分。</w:t>
      </w:r>
    </w:p>
    <w:p>
      <w:pPr>
        <w:pStyle w:val="8"/>
        <w:spacing w:line="360" w:lineRule="auto"/>
        <w:ind w:firstLine="470" w:firstLineChars="196"/>
        <w:rPr>
          <w:rFonts w:ascii="Times New Roman" w:hAnsi="Times New Roman"/>
          <w:color w:val="auto"/>
          <w:kern w:val="2"/>
          <w:szCs w:val="22"/>
          <w:highlight w:val="none"/>
        </w:rPr>
      </w:pPr>
      <w:r>
        <w:rPr>
          <w:rFonts w:ascii="Times New Roman" w:hAnsi="Times New Roman"/>
          <w:color w:val="auto"/>
          <w:kern w:val="2"/>
          <w:szCs w:val="22"/>
          <w:highlight w:val="none"/>
        </w:rPr>
        <w:t>二、学年品德表现评价加分D2，由以下个人与集体荣誉加分组成，不同项目可累计加分，但最高计10分。</w:t>
      </w:r>
    </w:p>
    <w:p>
      <w:pPr>
        <w:pStyle w:val="8"/>
        <w:spacing w:line="360" w:lineRule="auto"/>
        <w:ind w:firstLine="470" w:firstLineChars="196"/>
        <w:rPr>
          <w:rFonts w:ascii="Times New Roman" w:hAnsi="Times New Roman"/>
          <w:color w:val="auto"/>
          <w:kern w:val="2"/>
          <w:szCs w:val="22"/>
          <w:highlight w:val="none"/>
        </w:rPr>
      </w:pPr>
      <w:r>
        <w:rPr>
          <w:rFonts w:ascii="Times New Roman" w:hAnsi="Times New Roman"/>
          <w:color w:val="auto"/>
          <w:kern w:val="2"/>
          <w:szCs w:val="22"/>
          <w:highlight w:val="none"/>
        </w:rPr>
        <w:t>（一）个人荣誉加分</w:t>
      </w:r>
    </w:p>
    <w:tbl>
      <w:tblPr>
        <w:tblStyle w:val="6"/>
        <w:tblW w:w="89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8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668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荣誉级别</w:t>
            </w:r>
          </w:p>
        </w:tc>
        <w:tc>
          <w:tcPr>
            <w:tcW w:w="1246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7668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国家级(三好学生、优秀学生干部、优秀团干、优秀团员等)</w:t>
            </w:r>
          </w:p>
        </w:tc>
        <w:tc>
          <w:tcPr>
            <w:tcW w:w="1246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7668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省级(三好学生、优秀学生干部、优秀团干、优秀团员等)</w:t>
            </w:r>
          </w:p>
        </w:tc>
        <w:tc>
          <w:tcPr>
            <w:tcW w:w="1246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7668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学校级(优秀学生干部、优秀党员、优秀团干、优秀团员等)：</w:t>
            </w:r>
          </w:p>
          <w:p>
            <w:pPr>
              <w:pStyle w:val="8"/>
              <w:spacing w:line="276" w:lineRule="auto"/>
              <w:ind w:firstLine="44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学校优秀党务工作者、优秀共产党员；学校优秀团干标兵、优秀团干、优秀团员；学生会杰出主席、学校优秀学生会干部、优秀学生会干事、校学生会金雁奖；学校十佳学业优秀大学生、十佳自强不息大学生等</w:t>
            </w:r>
          </w:p>
        </w:tc>
        <w:tc>
          <w:tcPr>
            <w:tcW w:w="1246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7668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学院级(优秀学生干部、优秀党员、优秀团干、优秀团员等)：</w:t>
            </w:r>
          </w:p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优秀党务工作者、示范党员、优秀团干、优秀学生会干部、优秀社团干部、优秀青年志愿者、优秀班干部、优秀辅导员助理</w:t>
            </w:r>
          </w:p>
        </w:tc>
        <w:tc>
          <w:tcPr>
            <w:tcW w:w="1246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7668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省级各类积极分子或先进个人</w:t>
            </w:r>
          </w:p>
        </w:tc>
        <w:tc>
          <w:tcPr>
            <w:tcW w:w="1246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7668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学校各类积极分子或先进个人：</w:t>
            </w:r>
          </w:p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学生会工作先进个人、女生节先进个人、宿舍建设先进个人、红十字会工作先进个人、文艺工作先进个人、校园文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sz w:val="22"/>
                <w:highlight w:val="none"/>
                <w:lang w:bidi="en-US"/>
              </w:rPr>
              <w:t>体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艺术节先进个人、学术科技节组织工作积极分子、学术科技节先进个人、军训先进个人（积极分子）、青春健康协会学生工作先进个人、食堂监督工作先进个人、校级辩论赛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最佳辩手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1246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668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学院各类积极分子或先进个人：</w:t>
            </w:r>
          </w:p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党建先进个人、院级辩论赛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最佳辩手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、义务献血者</w:t>
            </w:r>
          </w:p>
        </w:tc>
        <w:tc>
          <w:tcPr>
            <w:tcW w:w="1246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</w:tbl>
    <w:p>
      <w:pPr>
        <w:pStyle w:val="8"/>
        <w:spacing w:line="360" w:lineRule="auto"/>
        <w:ind w:firstLine="470" w:firstLineChars="196"/>
        <w:rPr>
          <w:rFonts w:ascii="Times New Roman" w:hAnsi="Times New Roman"/>
          <w:color w:val="auto"/>
          <w:kern w:val="2"/>
          <w:szCs w:val="22"/>
          <w:highlight w:val="none"/>
        </w:rPr>
      </w:pPr>
    </w:p>
    <w:p>
      <w:pPr>
        <w:pStyle w:val="8"/>
        <w:spacing w:line="360" w:lineRule="auto"/>
        <w:ind w:firstLine="470" w:firstLineChars="196"/>
        <w:rPr>
          <w:rFonts w:ascii="Times New Roman" w:hAnsi="Times New Roman"/>
          <w:color w:val="auto"/>
          <w:highlight w:val="none"/>
          <w:lang w:bidi="en-US"/>
        </w:rPr>
      </w:pPr>
      <w:r>
        <w:rPr>
          <w:rFonts w:ascii="Times New Roman" w:hAnsi="Times New Roman"/>
          <w:color w:val="auto"/>
          <w:highlight w:val="none"/>
          <w:lang w:bidi="en-US"/>
        </w:rPr>
        <w:t>（二）集体荣誉项</w:t>
      </w:r>
    </w:p>
    <w:tbl>
      <w:tblPr>
        <w:tblStyle w:val="6"/>
        <w:tblW w:w="949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  <w:gridCol w:w="1984"/>
        <w:gridCol w:w="1929"/>
        <w:gridCol w:w="17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3827" w:type="dxa"/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荣誉级别</w:t>
            </w:r>
          </w:p>
        </w:tc>
        <w:tc>
          <w:tcPr>
            <w:tcW w:w="1984" w:type="dxa"/>
            <w:tcBorders>
              <w:top w:val="single" w:color="auto" w:sz="4" w:space="0"/>
            </w:tcBorders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主要负责人加分</w:t>
            </w:r>
          </w:p>
        </w:tc>
        <w:tc>
          <w:tcPr>
            <w:tcW w:w="1929" w:type="dxa"/>
            <w:tcBorders>
              <w:top w:val="single" w:color="auto" w:sz="4" w:space="0"/>
            </w:tcBorders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其他负责人加分</w:t>
            </w:r>
          </w:p>
        </w:tc>
        <w:tc>
          <w:tcPr>
            <w:tcW w:w="1757" w:type="dxa"/>
            <w:tcBorders>
              <w:top w:val="single" w:color="auto" w:sz="4" w:space="0"/>
            </w:tcBorders>
            <w:vAlign w:val="center"/>
          </w:tcPr>
          <w:p>
            <w:pPr>
              <w:pStyle w:val="8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一般成员加分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382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全国先进党、团支部、班集体</w:t>
            </w:r>
          </w:p>
        </w:tc>
        <w:tc>
          <w:tcPr>
            <w:tcW w:w="1984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1929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175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382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全省先进党、团支部、班集体</w:t>
            </w:r>
          </w:p>
        </w:tc>
        <w:tc>
          <w:tcPr>
            <w:tcW w:w="1984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1929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175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382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学校先进党、团支部、班集体：</w:t>
            </w:r>
          </w:p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红旗团支部（标兵）、先进班集体</w:t>
            </w:r>
          </w:p>
        </w:tc>
        <w:tc>
          <w:tcPr>
            <w:tcW w:w="1984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1929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175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382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学院先进党、团支部、班集体</w:t>
            </w:r>
          </w:p>
        </w:tc>
        <w:tc>
          <w:tcPr>
            <w:tcW w:w="1984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929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175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382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学校文明宿舍</w:t>
            </w:r>
          </w:p>
        </w:tc>
        <w:tc>
          <w:tcPr>
            <w:tcW w:w="1984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929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/</w:t>
            </w:r>
          </w:p>
        </w:tc>
        <w:tc>
          <w:tcPr>
            <w:tcW w:w="175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382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学院文明宿舍</w:t>
            </w:r>
          </w:p>
        </w:tc>
        <w:tc>
          <w:tcPr>
            <w:tcW w:w="1984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1929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/</w:t>
            </w:r>
          </w:p>
        </w:tc>
        <w:tc>
          <w:tcPr>
            <w:tcW w:w="1757" w:type="dxa"/>
            <w:vAlign w:val="center"/>
          </w:tcPr>
          <w:p>
            <w:pPr>
              <w:pStyle w:val="8"/>
              <w:spacing w:line="240" w:lineRule="auto"/>
              <w:ind w:firstLine="0" w:firstLineChars="0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0.5</w:t>
            </w:r>
          </w:p>
        </w:tc>
      </w:tr>
    </w:tbl>
    <w:p>
      <w:pPr>
        <w:spacing w:line="360" w:lineRule="auto"/>
        <w:ind w:right="-594" w:rightChars="-283" w:firstLine="482" w:firstLineChars="200"/>
        <w:rPr>
          <w:rFonts w:ascii="Times New Roman" w:hAnsi="Times New Roman"/>
          <w:b/>
          <w:color w:val="auto"/>
          <w:sz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>注：</w:t>
      </w:r>
    </w:p>
    <w:p>
      <w:pPr>
        <w:pStyle w:val="9"/>
        <w:numPr>
          <w:ilvl w:val="0"/>
          <w:numId w:val="1"/>
        </w:numPr>
        <w:spacing w:line="360" w:lineRule="auto"/>
        <w:ind w:right="-594" w:rightChars="-283"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获得校级、院级文明宿舍的主要负责人为宿舍舍长；被评为学院</w:t>
      </w:r>
      <w:r>
        <w:rPr>
          <w:rFonts w:hint="eastAsia" w:ascii="Times New Roman" w:hAnsi="Times New Roman"/>
          <w:color w:val="auto"/>
          <w:sz w:val="22"/>
          <w:highlight w:val="none"/>
        </w:rPr>
        <w:t>“</w:t>
      </w:r>
      <w:r>
        <w:rPr>
          <w:rFonts w:ascii="Times New Roman" w:hAnsi="Times New Roman"/>
          <w:color w:val="auto"/>
          <w:sz w:val="22"/>
          <w:highlight w:val="none"/>
        </w:rPr>
        <w:t>状元坊</w:t>
      </w:r>
      <w:r>
        <w:rPr>
          <w:rFonts w:hint="eastAsia" w:ascii="Times New Roman" w:hAnsi="Times New Roman"/>
          <w:color w:val="auto"/>
          <w:sz w:val="22"/>
          <w:highlight w:val="none"/>
        </w:rPr>
        <w:t>”</w:t>
      </w:r>
      <w:r>
        <w:rPr>
          <w:rFonts w:ascii="Times New Roman" w:hAnsi="Times New Roman"/>
          <w:color w:val="auto"/>
          <w:sz w:val="22"/>
          <w:highlight w:val="none"/>
        </w:rPr>
        <w:t>文明宿舍按综合测评中学院文明宿舍标准加分，而</w:t>
      </w:r>
      <w:r>
        <w:rPr>
          <w:rFonts w:hint="eastAsia" w:ascii="Times New Roman" w:hAnsi="Times New Roman"/>
          <w:color w:val="auto"/>
          <w:sz w:val="22"/>
          <w:highlight w:val="none"/>
        </w:rPr>
        <w:t>“</w:t>
      </w:r>
      <w:r>
        <w:rPr>
          <w:rFonts w:ascii="Times New Roman" w:hAnsi="Times New Roman"/>
          <w:color w:val="auto"/>
          <w:sz w:val="22"/>
          <w:highlight w:val="none"/>
        </w:rPr>
        <w:t>榜眼坊</w:t>
      </w:r>
      <w:r>
        <w:rPr>
          <w:rFonts w:hint="eastAsia" w:ascii="Times New Roman" w:hAnsi="Times New Roman"/>
          <w:color w:val="auto"/>
          <w:sz w:val="22"/>
          <w:highlight w:val="none"/>
        </w:rPr>
        <w:t>”</w:t>
      </w:r>
      <w:r>
        <w:rPr>
          <w:rFonts w:ascii="Times New Roman" w:hAnsi="Times New Roman"/>
          <w:color w:val="auto"/>
          <w:sz w:val="22"/>
          <w:highlight w:val="none"/>
        </w:rPr>
        <w:t>称号的房间，每个成员加0.4分，舍长加0.8分；被评为学院</w:t>
      </w:r>
      <w:r>
        <w:rPr>
          <w:rFonts w:hint="eastAsia" w:ascii="Times New Roman" w:hAnsi="Times New Roman"/>
          <w:color w:val="auto"/>
          <w:sz w:val="22"/>
          <w:highlight w:val="none"/>
        </w:rPr>
        <w:t>“</w:t>
      </w:r>
      <w:r>
        <w:rPr>
          <w:rFonts w:ascii="Times New Roman" w:hAnsi="Times New Roman"/>
          <w:color w:val="auto"/>
          <w:sz w:val="22"/>
          <w:highlight w:val="none"/>
        </w:rPr>
        <w:t>探花坊</w:t>
      </w:r>
      <w:r>
        <w:rPr>
          <w:rFonts w:hint="eastAsia" w:ascii="Times New Roman" w:hAnsi="Times New Roman"/>
          <w:color w:val="auto"/>
          <w:sz w:val="22"/>
          <w:highlight w:val="none"/>
        </w:rPr>
        <w:t>”</w:t>
      </w:r>
      <w:r>
        <w:rPr>
          <w:rFonts w:ascii="Times New Roman" w:hAnsi="Times New Roman"/>
          <w:color w:val="auto"/>
          <w:sz w:val="22"/>
          <w:highlight w:val="none"/>
        </w:rPr>
        <w:t>称号的房间，每个成员加0.3分，舍长加0.6分；</w:t>
      </w:r>
      <w:r>
        <w:rPr>
          <w:rFonts w:hint="eastAsia" w:ascii="Times New Roman" w:hAnsi="Times New Roman"/>
          <w:color w:val="auto"/>
          <w:sz w:val="22"/>
          <w:highlight w:val="none"/>
        </w:rPr>
        <w:t>“</w:t>
      </w:r>
      <w:r>
        <w:rPr>
          <w:rFonts w:ascii="Times New Roman" w:hAnsi="Times New Roman"/>
          <w:color w:val="auto"/>
          <w:sz w:val="22"/>
          <w:highlight w:val="none"/>
        </w:rPr>
        <w:t>国防生文明宿舍</w:t>
      </w:r>
      <w:r>
        <w:rPr>
          <w:rFonts w:hint="eastAsia" w:ascii="Times New Roman" w:hAnsi="Times New Roman"/>
          <w:color w:val="auto"/>
          <w:sz w:val="22"/>
          <w:highlight w:val="none"/>
        </w:rPr>
        <w:t>”</w:t>
      </w:r>
      <w:r>
        <w:rPr>
          <w:rFonts w:ascii="Times New Roman" w:hAnsi="Times New Roman"/>
          <w:color w:val="auto"/>
          <w:sz w:val="22"/>
          <w:highlight w:val="none"/>
        </w:rPr>
        <w:t>以学校文明宿舍等级加分；</w:t>
      </w:r>
    </w:p>
    <w:p>
      <w:pPr>
        <w:pStyle w:val="9"/>
        <w:numPr>
          <w:ilvl w:val="0"/>
          <w:numId w:val="1"/>
        </w:numPr>
        <w:spacing w:line="360" w:lineRule="auto"/>
        <w:ind w:right="-594" w:rightChars="-283"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凡参加由学校、学院所举行的正规无偿献血，每次加分2分，此项目最高分为3分，需提供证明；</w:t>
      </w:r>
    </w:p>
    <w:p>
      <w:pPr>
        <w:pStyle w:val="9"/>
        <w:numPr>
          <w:ilvl w:val="0"/>
          <w:numId w:val="1"/>
        </w:numPr>
        <w:spacing w:line="360" w:lineRule="auto"/>
        <w:ind w:right="-594" w:rightChars="-283" w:firstLineChars="0"/>
        <w:rPr>
          <w:rFonts w:ascii="Times New Roman" w:hAnsi="Times New Roman"/>
          <w:bCs/>
          <w:color w:val="auto"/>
          <w:sz w:val="24"/>
          <w:highlight w:val="none"/>
        </w:rPr>
      </w:pPr>
      <w:r>
        <w:rPr>
          <w:rFonts w:hint="eastAsia" w:ascii="Times New Roman" w:hAnsi="Times New Roman"/>
          <w:bCs/>
          <w:color w:val="auto"/>
          <w:sz w:val="24"/>
          <w:highlight w:val="none"/>
        </w:rPr>
        <w:t>按时注册每位同学品德分加5分；</w:t>
      </w:r>
    </w:p>
    <w:p>
      <w:pPr>
        <w:pStyle w:val="9"/>
        <w:numPr>
          <w:ilvl w:val="0"/>
          <w:numId w:val="1"/>
        </w:numPr>
        <w:spacing w:line="360" w:lineRule="auto"/>
        <w:ind w:right="-594" w:rightChars="-283"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同一项目获不同等级荣誉的只计最高</w:t>
      </w:r>
      <w:r>
        <w:rPr>
          <w:rFonts w:hint="eastAsia" w:ascii="Times New Roman" w:hAnsi="Times New Roman"/>
          <w:color w:val="auto"/>
          <w:sz w:val="22"/>
          <w:highlight w:val="none"/>
        </w:rPr>
        <w:t>等级荣誉加</w:t>
      </w:r>
      <w:r>
        <w:rPr>
          <w:rFonts w:ascii="Times New Roman" w:hAnsi="Times New Roman"/>
          <w:color w:val="auto"/>
          <w:sz w:val="22"/>
          <w:highlight w:val="none"/>
        </w:rPr>
        <w:t>分；</w:t>
      </w:r>
    </w:p>
    <w:p>
      <w:pPr>
        <w:pStyle w:val="9"/>
        <w:numPr>
          <w:ilvl w:val="0"/>
          <w:numId w:val="1"/>
        </w:numPr>
        <w:spacing w:line="360" w:lineRule="auto"/>
        <w:ind w:right="-594" w:rightChars="-283"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不同项目可累计记分，但最高分为10分；</w:t>
      </w:r>
    </w:p>
    <w:p>
      <w:pPr>
        <w:pStyle w:val="9"/>
        <w:numPr>
          <w:ilvl w:val="0"/>
          <w:numId w:val="1"/>
        </w:numPr>
        <w:spacing w:line="360" w:lineRule="auto"/>
        <w:ind w:right="-594" w:rightChars="-283"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未尽荣誉项目可由各年级按实际情况进行补充，上报学院综合测评领导小组审核后进行对应加分，加分仅在测评学年度有效。</w:t>
      </w:r>
    </w:p>
    <w:p>
      <w:pPr>
        <w:spacing w:line="360" w:lineRule="auto"/>
        <w:ind w:firstLine="470" w:firstLineChars="196"/>
        <w:jc w:val="left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三、学年品德表现评价扣分D3</w:t>
      </w:r>
    </w:p>
    <w:tbl>
      <w:tblPr>
        <w:tblStyle w:val="6"/>
        <w:tblW w:w="85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733"/>
        <w:gridCol w:w="1452"/>
        <w:gridCol w:w="359"/>
        <w:gridCol w:w="1420"/>
        <w:gridCol w:w="1467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560" w:type="dxa"/>
            <w:gridSpan w:val="7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个人项目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304" w:type="dxa"/>
            <w:gridSpan w:val="3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类项</w:t>
            </w:r>
          </w:p>
        </w:tc>
        <w:tc>
          <w:tcPr>
            <w:tcW w:w="3256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04" w:type="dxa"/>
            <w:gridSpan w:val="3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无故旷课</w:t>
            </w:r>
          </w:p>
        </w:tc>
        <w:tc>
          <w:tcPr>
            <w:tcW w:w="3256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9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通报批评</w:t>
            </w:r>
          </w:p>
        </w:tc>
        <w:tc>
          <w:tcPr>
            <w:tcW w:w="2185" w:type="dxa"/>
            <w:gridSpan w:val="2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学院</w:t>
            </w:r>
          </w:p>
        </w:tc>
        <w:tc>
          <w:tcPr>
            <w:tcW w:w="3256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9" w:type="dxa"/>
            <w:vMerge w:val="continue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2185" w:type="dxa"/>
            <w:gridSpan w:val="2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学校</w:t>
            </w:r>
          </w:p>
        </w:tc>
        <w:tc>
          <w:tcPr>
            <w:tcW w:w="3256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3119" w:type="dxa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行政、党团处分</w:t>
            </w:r>
          </w:p>
        </w:tc>
        <w:tc>
          <w:tcPr>
            <w:tcW w:w="2185" w:type="dxa"/>
            <w:gridSpan w:val="2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警告</w:t>
            </w:r>
          </w:p>
        </w:tc>
        <w:tc>
          <w:tcPr>
            <w:tcW w:w="3256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3119" w:type="dxa"/>
            <w:vMerge w:val="continue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2185" w:type="dxa"/>
            <w:gridSpan w:val="2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严重警告</w:t>
            </w:r>
          </w:p>
        </w:tc>
        <w:tc>
          <w:tcPr>
            <w:tcW w:w="3256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3119" w:type="dxa"/>
            <w:vMerge w:val="continue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2185" w:type="dxa"/>
            <w:gridSpan w:val="2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记过</w:t>
            </w:r>
          </w:p>
        </w:tc>
        <w:tc>
          <w:tcPr>
            <w:tcW w:w="3256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3119" w:type="dxa"/>
            <w:vMerge w:val="continue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2185" w:type="dxa"/>
            <w:gridSpan w:val="2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留校察看</w:t>
            </w:r>
          </w:p>
        </w:tc>
        <w:tc>
          <w:tcPr>
            <w:tcW w:w="3256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 w:hRule="atLeast"/>
          <w:jc w:val="center"/>
        </w:trPr>
        <w:tc>
          <w:tcPr>
            <w:tcW w:w="8560" w:type="dxa"/>
            <w:gridSpan w:val="7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集体项目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9" w:hRule="atLeast"/>
          <w:jc w:val="center"/>
        </w:trPr>
        <w:tc>
          <w:tcPr>
            <w:tcW w:w="5663" w:type="dxa"/>
            <w:gridSpan w:val="4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类项</w:t>
            </w:r>
          </w:p>
        </w:tc>
        <w:tc>
          <w:tcPr>
            <w:tcW w:w="2887" w:type="dxa"/>
            <w:gridSpan w:val="2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" w:hRule="atLeast"/>
          <w:jc w:val="center"/>
        </w:trPr>
        <w:tc>
          <w:tcPr>
            <w:tcW w:w="5663" w:type="dxa"/>
            <w:gridSpan w:val="4"/>
            <w:vMerge w:val="continue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</w:p>
        </w:tc>
        <w:tc>
          <w:tcPr>
            <w:tcW w:w="1420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主要负责人</w:t>
            </w:r>
          </w:p>
        </w:tc>
        <w:tc>
          <w:tcPr>
            <w:tcW w:w="1467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一般成员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70" w:hRule="atLeast"/>
          <w:jc w:val="center"/>
        </w:trPr>
        <w:tc>
          <w:tcPr>
            <w:tcW w:w="5663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所在宿舍受到学校学生宿舍管理部门通报批评</w:t>
            </w:r>
          </w:p>
        </w:tc>
        <w:tc>
          <w:tcPr>
            <w:tcW w:w="1420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</w:t>
            </w:r>
          </w:p>
        </w:tc>
        <w:tc>
          <w:tcPr>
            <w:tcW w:w="1467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70" w:hRule="atLeast"/>
          <w:jc w:val="center"/>
        </w:trPr>
        <w:tc>
          <w:tcPr>
            <w:tcW w:w="3852" w:type="dxa"/>
            <w:gridSpan w:val="2"/>
            <w:vMerge w:val="restart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所在宿舍受到宿管中心停电出处理</w:t>
            </w:r>
          </w:p>
        </w:tc>
        <w:tc>
          <w:tcPr>
            <w:tcW w:w="1811" w:type="dxa"/>
            <w:gridSpan w:val="2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1次</w:t>
            </w:r>
          </w:p>
        </w:tc>
        <w:tc>
          <w:tcPr>
            <w:tcW w:w="1420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 xml:space="preserve">0.5 </w:t>
            </w:r>
          </w:p>
        </w:tc>
        <w:tc>
          <w:tcPr>
            <w:tcW w:w="1467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 xml:space="preserve">0.2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70" w:hRule="atLeast"/>
          <w:jc w:val="center"/>
        </w:trPr>
        <w:tc>
          <w:tcPr>
            <w:tcW w:w="3852" w:type="dxa"/>
            <w:gridSpan w:val="2"/>
            <w:vMerge w:val="continue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1811" w:type="dxa"/>
            <w:gridSpan w:val="2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2次以上（含）</w:t>
            </w:r>
          </w:p>
        </w:tc>
        <w:tc>
          <w:tcPr>
            <w:tcW w:w="1420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</w:t>
            </w:r>
          </w:p>
        </w:tc>
        <w:tc>
          <w:tcPr>
            <w:tcW w:w="1467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70" w:hRule="atLeast"/>
          <w:jc w:val="center"/>
        </w:trPr>
        <w:tc>
          <w:tcPr>
            <w:tcW w:w="3852" w:type="dxa"/>
            <w:gridSpan w:val="2"/>
            <w:vMerge w:val="continue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1811" w:type="dxa"/>
            <w:gridSpan w:val="2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4次以上（含）</w:t>
            </w:r>
          </w:p>
        </w:tc>
        <w:tc>
          <w:tcPr>
            <w:tcW w:w="1420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</w:t>
            </w:r>
          </w:p>
        </w:tc>
        <w:tc>
          <w:tcPr>
            <w:tcW w:w="1467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117" w:hRule="atLeast"/>
          <w:jc w:val="center"/>
        </w:trPr>
        <w:tc>
          <w:tcPr>
            <w:tcW w:w="5663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所在宿舍受到学院通报批评</w:t>
            </w:r>
          </w:p>
        </w:tc>
        <w:tc>
          <w:tcPr>
            <w:tcW w:w="1420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</w:t>
            </w:r>
          </w:p>
        </w:tc>
        <w:tc>
          <w:tcPr>
            <w:tcW w:w="1467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117" w:hRule="atLeast"/>
          <w:jc w:val="center"/>
        </w:trPr>
        <w:tc>
          <w:tcPr>
            <w:tcW w:w="5663" w:type="dxa"/>
            <w:gridSpan w:val="4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受学院生活部卫生检查不合格次数达2次以上宿舍</w:t>
            </w:r>
          </w:p>
        </w:tc>
        <w:tc>
          <w:tcPr>
            <w:tcW w:w="1420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</w:t>
            </w:r>
          </w:p>
        </w:tc>
        <w:tc>
          <w:tcPr>
            <w:tcW w:w="1467" w:type="dxa"/>
          </w:tcPr>
          <w:p>
            <w:pPr>
              <w:widowControl/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0.5</w:t>
            </w:r>
          </w:p>
        </w:tc>
      </w:tr>
    </w:tbl>
    <w:p>
      <w:pPr>
        <w:spacing w:line="360" w:lineRule="auto"/>
        <w:ind w:right="-594" w:rightChars="-283" w:firstLine="482" w:firstLineChars="200"/>
        <w:rPr>
          <w:rFonts w:ascii="Times New Roman" w:hAnsi="Times New Roman"/>
          <w:b/>
          <w:color w:val="auto"/>
          <w:sz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>注：</w:t>
      </w:r>
    </w:p>
    <w:p>
      <w:pPr>
        <w:pStyle w:val="9"/>
        <w:numPr>
          <w:ilvl w:val="0"/>
          <w:numId w:val="2"/>
        </w:numPr>
        <w:spacing w:line="360" w:lineRule="auto"/>
        <w:ind w:right="-594" w:rightChars="-283" w:firstLine="44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集体项目扣分均为每次扣分，依次累加；</w:t>
      </w:r>
    </w:p>
    <w:p>
      <w:pPr>
        <w:pStyle w:val="9"/>
        <w:numPr>
          <w:ilvl w:val="0"/>
          <w:numId w:val="2"/>
        </w:numPr>
        <w:spacing w:line="360" w:lineRule="auto"/>
        <w:ind w:right="-594" w:rightChars="-283" w:firstLine="44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同一项只扣最高分一项；</w:t>
      </w:r>
    </w:p>
    <w:p>
      <w:pPr>
        <w:pStyle w:val="9"/>
        <w:numPr>
          <w:ilvl w:val="0"/>
          <w:numId w:val="2"/>
        </w:numPr>
        <w:spacing w:line="360" w:lineRule="auto"/>
        <w:ind w:right="-594" w:rightChars="-283" w:firstLine="44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扣分项目可累计不超过80分；</w:t>
      </w:r>
    </w:p>
    <w:p>
      <w:pPr>
        <w:pStyle w:val="9"/>
        <w:numPr>
          <w:ilvl w:val="0"/>
          <w:numId w:val="2"/>
        </w:numPr>
        <w:spacing w:line="360" w:lineRule="auto"/>
        <w:ind w:right="-594" w:rightChars="-283" w:firstLine="440"/>
        <w:rPr>
          <w:rFonts w:ascii="Times New Roman" w:hAnsi="Times New Roman"/>
          <w:color w:val="auto"/>
          <w:sz w:val="22"/>
          <w:highlight w:val="none"/>
        </w:rPr>
      </w:pPr>
      <w:r>
        <w:rPr>
          <w:rFonts w:hint="eastAsia" w:ascii="Times New Roman" w:hAnsi="Times New Roman"/>
          <w:color w:val="auto"/>
          <w:sz w:val="22"/>
          <w:highlight w:val="none"/>
        </w:rPr>
        <w:t>扣分项由各年级辅导员老师核准，</w:t>
      </w:r>
      <w:r>
        <w:rPr>
          <w:rFonts w:ascii="Times New Roman" w:hAnsi="Times New Roman"/>
          <w:color w:val="auto"/>
          <w:sz w:val="22"/>
          <w:highlight w:val="none"/>
        </w:rPr>
        <w:t>扣分仅在本测评学年度有效。</w:t>
      </w: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highlight w:val="none"/>
        </w:rPr>
      </w:pP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highlight w:val="none"/>
        </w:rPr>
      </w:pP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highlight w:val="none"/>
        </w:rPr>
        <w:sectPr>
          <w:pgSz w:w="11906" w:h="16838"/>
          <w:pgMar w:top="1701" w:right="1531" w:bottom="1701" w:left="1531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highlight w:val="none"/>
        </w:rPr>
      </w:pPr>
      <w:r>
        <w:rPr>
          <w:rFonts w:ascii="Times New Roman" w:hAnsi="Times New Roman"/>
          <w:b/>
          <w:color w:val="auto"/>
          <w:sz w:val="28"/>
          <w:highlight w:val="none"/>
        </w:rPr>
        <w:t>第二部分 学业成绩考核</w:t>
      </w: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学业成绩包括一学年来所修的所有课程（必修课、选修课、公共选修课）。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学业成绩考核计算方法如下：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一、一学年平均学分绩点＝（该学年修全部课程的学分绩点之和）÷（所修课程的总学分）。该数据直接来源于教务处教务管理系统的《成绩表》。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二、学业成绩平均分(X)＝一学年平均学分绩点折合为百分制的分数。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学习成绩与绩点数的折算方法为：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90～100分折合为4.0～5.0绩点，优秀折合为4.5绩点；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80～89分折合为3.0～3.9绩点，良好折合为3.5绩点；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70～79分折合为2.0～2.9绩点，中等折合为2.5绩点；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60～69分折合为1.0～1.9绩点，及格折合为1.5绩点；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59分以下（不及格）折合为0绩点。</w:t>
      </w:r>
    </w:p>
    <w:p>
      <w:pPr>
        <w:spacing w:line="360" w:lineRule="auto"/>
        <w:ind w:firstLine="482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>注：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90分折合为4.0绩点，91分折合为4.1绩点，以此类推；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所有课程成绩均按照学生首次考试取得的课程成绩计算；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不及格课程</w:t>
      </w:r>
      <w:r>
        <w:rPr>
          <w:rFonts w:hint="eastAsia" w:ascii="Times New Roman" w:hAnsi="Times New Roman"/>
          <w:color w:val="auto"/>
          <w:sz w:val="22"/>
          <w:highlight w:val="none"/>
        </w:rPr>
        <w:t>和</w:t>
      </w:r>
      <w:r>
        <w:rPr>
          <w:rFonts w:ascii="Times New Roman" w:hAnsi="Times New Roman"/>
          <w:color w:val="auto"/>
          <w:sz w:val="22"/>
          <w:highlight w:val="none"/>
        </w:rPr>
        <w:t>重修通过的课程绩点数为0</w:t>
      </w:r>
      <w:r>
        <w:rPr>
          <w:rFonts w:hint="eastAsia" w:ascii="Times New Roman" w:hAnsi="Times New Roman"/>
          <w:color w:val="auto"/>
          <w:sz w:val="22"/>
          <w:highlight w:val="none"/>
        </w:rPr>
        <w:t>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双专业课程成绩不计入此</w:t>
      </w:r>
      <w:r>
        <w:rPr>
          <w:rFonts w:hint="eastAsia" w:ascii="Times New Roman" w:hAnsi="Times New Roman"/>
          <w:color w:val="auto"/>
          <w:sz w:val="22"/>
          <w:highlight w:val="none"/>
        </w:rPr>
        <w:t>项</w:t>
      </w:r>
      <w:r>
        <w:rPr>
          <w:rFonts w:ascii="Times New Roman" w:hAnsi="Times New Roman"/>
          <w:color w:val="auto"/>
          <w:sz w:val="22"/>
          <w:highlight w:val="none"/>
        </w:rPr>
        <w:t>考核；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经批准缓修通过的课程绩点可以计算在修读学期的总绩点内；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hint="eastAsia" w:ascii="Times New Roman" w:hAnsi="Times New Roman"/>
          <w:color w:val="auto"/>
          <w:sz w:val="22"/>
          <w:highlight w:val="none"/>
        </w:rPr>
        <w:t>在</w:t>
      </w:r>
      <w:r>
        <w:rPr>
          <w:rFonts w:ascii="Times New Roman" w:hAnsi="Times New Roman"/>
          <w:color w:val="auto"/>
          <w:sz w:val="22"/>
          <w:highlight w:val="none"/>
        </w:rPr>
        <w:t>递交材料</w:t>
      </w:r>
      <w:r>
        <w:rPr>
          <w:rFonts w:hint="eastAsia" w:ascii="Times New Roman" w:hAnsi="Times New Roman"/>
          <w:color w:val="auto"/>
          <w:sz w:val="22"/>
          <w:highlight w:val="none"/>
        </w:rPr>
        <w:t>截止时间</w:t>
      </w:r>
      <w:r>
        <w:rPr>
          <w:rFonts w:ascii="Times New Roman" w:hAnsi="Times New Roman"/>
          <w:color w:val="auto"/>
          <w:sz w:val="22"/>
          <w:highlight w:val="none"/>
        </w:rPr>
        <w:t>，缓考未出成绩的不计入本学年总绩点内，算进下学年绩点中；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学业成绩平均分、绩点统一保留到小数点后</w:t>
      </w:r>
      <w:r>
        <w:rPr>
          <w:rFonts w:hint="eastAsia" w:ascii="Times New Roman" w:hAnsi="Times New Roman"/>
          <w:color w:val="auto"/>
          <w:sz w:val="22"/>
          <w:highlight w:val="none"/>
        </w:rPr>
        <w:t>2</w:t>
      </w:r>
      <w:r>
        <w:rPr>
          <w:rFonts w:ascii="Times New Roman" w:hAnsi="Times New Roman"/>
          <w:color w:val="auto"/>
          <w:sz w:val="22"/>
          <w:highlight w:val="none"/>
        </w:rPr>
        <w:t>位；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申请各等奖学金，除满足学生手册相关规定条件外，申请一等奖学金，学业成绩排名须排在班级人数前</w:t>
      </w:r>
      <w:r>
        <w:rPr>
          <w:rFonts w:hint="eastAsia" w:ascii="Times New Roman" w:hAnsi="Times New Roman"/>
          <w:color w:val="auto"/>
          <w:sz w:val="22"/>
          <w:highlight w:val="none"/>
        </w:rPr>
        <w:t>20</w:t>
      </w:r>
      <w:r>
        <w:rPr>
          <w:rFonts w:ascii="Times New Roman" w:hAnsi="Times New Roman"/>
          <w:color w:val="auto"/>
          <w:sz w:val="22"/>
          <w:highlight w:val="none"/>
        </w:rPr>
        <w:t>%；申请二等奖学金，学业成绩排名须排在班级人数前</w:t>
      </w:r>
      <w:r>
        <w:rPr>
          <w:rFonts w:hint="eastAsia" w:ascii="Times New Roman" w:hAnsi="Times New Roman"/>
          <w:color w:val="auto"/>
          <w:sz w:val="22"/>
          <w:highlight w:val="none"/>
        </w:rPr>
        <w:t>4</w:t>
      </w:r>
      <w:r>
        <w:rPr>
          <w:rFonts w:ascii="Times New Roman" w:hAnsi="Times New Roman"/>
          <w:color w:val="auto"/>
          <w:sz w:val="22"/>
          <w:highlight w:val="none"/>
        </w:rPr>
        <w:t>0%；申请三等奖学金，学业成绩排名</w:t>
      </w:r>
      <w:r>
        <w:rPr>
          <w:rFonts w:hint="eastAsia" w:ascii="Times New Roman" w:hAnsi="Times New Roman"/>
          <w:color w:val="auto"/>
          <w:sz w:val="22"/>
          <w:highlight w:val="none"/>
        </w:rPr>
        <w:t>不作要求</w:t>
      </w:r>
      <w:r>
        <w:rPr>
          <w:rFonts w:ascii="Times New Roman" w:hAnsi="Times New Roman"/>
          <w:color w:val="auto"/>
          <w:sz w:val="22"/>
          <w:highlight w:val="none"/>
        </w:rPr>
        <w:t>。</w:t>
      </w: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  <w:u w:val="singl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  <w:u w:val="single"/>
        </w:rPr>
      </w:pP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highlight w:val="none"/>
        </w:rPr>
        <w:sectPr>
          <w:pgSz w:w="11906" w:h="16838"/>
          <w:pgMar w:top="1701" w:right="1531" w:bottom="1701" w:left="1531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highlight w:val="none"/>
        </w:rPr>
      </w:pPr>
      <w:r>
        <w:rPr>
          <w:rFonts w:ascii="Times New Roman" w:hAnsi="Times New Roman"/>
          <w:b/>
          <w:color w:val="auto"/>
          <w:sz w:val="28"/>
          <w:highlight w:val="none"/>
        </w:rPr>
        <w:t>第三部分 创新实践评价</w:t>
      </w: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创新实践评价分（C）由创新实践基本分C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1</w:t>
      </w:r>
      <w:r>
        <w:rPr>
          <w:rFonts w:ascii="Times New Roman" w:hAnsi="Times New Roman"/>
          <w:color w:val="auto"/>
          <w:sz w:val="24"/>
          <w:highlight w:val="none"/>
        </w:rPr>
        <w:t>和创新实践加分C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2</w:t>
      </w:r>
      <w:r>
        <w:rPr>
          <w:rFonts w:ascii="Times New Roman" w:hAnsi="Times New Roman"/>
          <w:color w:val="auto"/>
          <w:sz w:val="24"/>
          <w:highlight w:val="none"/>
        </w:rPr>
        <w:t>两部分组成，满分100分。创新实践评价分C具体计算公式如下：C=C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1</w:t>
      </w:r>
      <w:r>
        <w:rPr>
          <w:rFonts w:ascii="Times New Roman" w:hAnsi="Times New Roman"/>
          <w:color w:val="auto"/>
          <w:sz w:val="24"/>
          <w:highlight w:val="none"/>
        </w:rPr>
        <w:t>＋C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 xml:space="preserve">2 </w:t>
      </w:r>
      <w:r>
        <w:rPr>
          <w:rFonts w:ascii="Times New Roman" w:hAnsi="Times New Roman"/>
          <w:color w:val="auto"/>
          <w:sz w:val="24"/>
          <w:highlight w:val="none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一、认真组织或积极参与各级各类科技创新实践活动，可得基本分C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1</w:t>
      </w:r>
      <w:r>
        <w:rPr>
          <w:rFonts w:ascii="Times New Roman" w:hAnsi="Times New Roman"/>
          <w:color w:val="auto"/>
          <w:sz w:val="24"/>
          <w:highlight w:val="none"/>
        </w:rPr>
        <w:t>=20分。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二、参加各级各类科技创新实践活动，并取得较好成绩的，可根据以下六个项目的标准加分，但加分合计C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2</w:t>
      </w:r>
      <w:r>
        <w:rPr>
          <w:rFonts w:ascii="Times New Roman" w:hAnsi="Times New Roman"/>
          <w:color w:val="auto"/>
          <w:sz w:val="24"/>
          <w:highlight w:val="none"/>
        </w:rPr>
        <w:t>不超过80。</w:t>
      </w:r>
    </w:p>
    <w:p>
      <w:pPr>
        <w:spacing w:line="360" w:lineRule="auto"/>
        <w:ind w:firstLine="480" w:firstLineChars="200"/>
        <w:rPr>
          <w:rFonts w:ascii="Times New Roman" w:hAnsi="Times New Roman"/>
          <w:bCs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（一）个人获奖项目</w:t>
      </w:r>
      <w:r>
        <w:rPr>
          <w:rFonts w:hint="eastAsia" w:ascii="Times New Roman" w:hAnsi="Times New Roman"/>
          <w:bCs/>
          <w:color w:val="auto"/>
          <w:sz w:val="24"/>
          <w:highlight w:val="none"/>
        </w:rPr>
        <w:t>（具体比赛以测评学年度期间发生的内容为准）</w:t>
      </w:r>
    </w:p>
    <w:tbl>
      <w:tblPr>
        <w:tblStyle w:val="6"/>
        <w:tblW w:w="86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3"/>
        <w:gridCol w:w="1222"/>
        <w:gridCol w:w="992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545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pict>
                <v:line id="直接连接符 2" o:spid="_x0000_s1026" o:spt="20" style="position:absolute;left:0pt;margin-left:45.8pt;margin-top:0pt;height:71.95pt;width:222.4pt;z-index:251658240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 xml:space="preserve"> </w:t>
            </w:r>
          </w:p>
          <w:p>
            <w:pPr>
              <w:spacing w:line="276" w:lineRule="auto"/>
              <w:ind w:firstLine="994" w:firstLineChars="450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                 获奖等级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pict>
                <v:line id="直接连接符 1" o:spid="_x0000_s1027" o:spt="20" style="position:absolute;left:0pt;margin-left:-5.85pt;margin-top:2.3pt;height:33.75pt;width:274.05pt;z-index:251659264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 xml:space="preserve">        级别</w:t>
            </w:r>
          </w:p>
        </w:tc>
        <w:tc>
          <w:tcPr>
            <w:tcW w:w="1222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第1名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（等）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第2名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（等）</w:t>
            </w:r>
          </w:p>
        </w:tc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第3名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（等）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5453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国际级科技学术竞赛或科研成果</w:t>
            </w:r>
          </w:p>
        </w:tc>
        <w:tc>
          <w:tcPr>
            <w:tcW w:w="12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40</w:t>
            </w:r>
          </w:p>
        </w:tc>
        <w:tc>
          <w:tcPr>
            <w:tcW w:w="99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35</w:t>
            </w: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453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国家级科技学术竞赛或科研成果：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第七届蓝桥杯全国软件和信息技术专业人才大赛；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全国周培源大学生力学竞赛；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全国大学生结构设计竞赛；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全国高等学校大学生测绘技能竞赛；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全国大学生交通科技大赛；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高教杯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全国大学生先进成图技术与产品信息建模创新大赛；等</w:t>
            </w:r>
          </w:p>
        </w:tc>
        <w:tc>
          <w:tcPr>
            <w:tcW w:w="12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35</w:t>
            </w:r>
          </w:p>
        </w:tc>
        <w:tc>
          <w:tcPr>
            <w:tcW w:w="99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30</w:t>
            </w: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5453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  <w:t>省级科技学术竞赛或科研成果：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广东省大学生结构设计竞赛；广东省CAD图形技能及创新大赛；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中南地区结构设计竞赛；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广厦杯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粤港澳高校结构设计信息技术大赛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“我行我数”首届广东大中专学生大数据应用创新大赛；第二届广东大学生金融建模大赛暨粤沪两地联谊赛；2016年广东省工科大学生综合实验技能大赛；</w:t>
            </w:r>
            <w:r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等</w:t>
            </w:r>
          </w:p>
        </w:tc>
        <w:tc>
          <w:tcPr>
            <w:tcW w:w="12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  <w:t>25</w:t>
            </w:r>
          </w:p>
        </w:tc>
        <w:tc>
          <w:tcPr>
            <w:tcW w:w="99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  <w:t>20</w:t>
            </w: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5453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校级科技学术竞赛或科研成果：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highlight w:val="none"/>
                <w:lang w:bidi="en-US"/>
              </w:rPr>
              <w:t>广州大学城校际实验技能邀请赛；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highlight w:val="none"/>
                <w:lang w:bidi="en-US"/>
              </w:rPr>
              <w:t>广东工业大学综合实验技能竞赛；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highlight w:val="none"/>
                <w:lang w:bidi="en-US"/>
              </w:rPr>
              <w:t>中山大学纸桥大赛（中山大学工学院结构设计大赛）；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highlight w:val="none"/>
                <w:lang w:bidi="en-US"/>
              </w:rPr>
              <w:t>华南农业大学紫荆科技节之桥梁设计大赛；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highlight w:val="none"/>
                <w:lang w:bidi="en-US"/>
              </w:rPr>
              <w:t>广州大学学术科技节之结构设计竞赛；等</w:t>
            </w:r>
          </w:p>
        </w:tc>
        <w:tc>
          <w:tcPr>
            <w:tcW w:w="122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15</w:t>
            </w:r>
          </w:p>
        </w:tc>
        <w:tc>
          <w:tcPr>
            <w:tcW w:w="99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4"/>
                <w:highlight w:val="none"/>
                <w:lang w:bidi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5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  <w:t>学院级学术科技竞赛：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华南理工大学科技文化节之土木结构设计大赛；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深圳大学海岸杯结构模型设计大赛；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城市公用设备系绘图及实例设计大赛；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“筑睿杯”工程制图及计算机绘图竞赛；</w:t>
            </w:r>
            <w:r>
              <w:rPr>
                <w:rFonts w:ascii="Times New Roman" w:hAnsi="Times New Roman"/>
                <w:b w:val="0"/>
                <w:bCs w:val="0"/>
                <w:color w:val="auto"/>
                <w:highlight w:val="none"/>
                <w:lang w:bidi="en-US"/>
              </w:rPr>
              <w:t>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  <w:t>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  <w:t>10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4"/>
                <w:highlight w:val="none"/>
                <w:lang w:bidi="en-US"/>
              </w:rPr>
              <w:t>5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（二）集体合作获奖项目加分</w:t>
      </w:r>
      <w:r>
        <w:rPr>
          <w:rFonts w:hint="eastAsia" w:ascii="Times New Roman" w:hAnsi="Times New Roman"/>
          <w:bCs/>
          <w:color w:val="auto"/>
          <w:sz w:val="24"/>
          <w:highlight w:val="none"/>
        </w:rPr>
        <w:t>（具体比赛以测评学年度期间发生的内容为准）</w:t>
      </w:r>
    </w:p>
    <w:tbl>
      <w:tblPr>
        <w:tblStyle w:val="6"/>
        <w:tblpPr w:leftFromText="180" w:rightFromText="180" w:vertAnchor="text" w:tblpXSpec="center" w:tblpY="1"/>
        <w:tblOverlap w:val="never"/>
        <w:tblW w:w="95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6"/>
        <w:gridCol w:w="1417"/>
        <w:gridCol w:w="1134"/>
        <w:gridCol w:w="156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41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单位级别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获奖等级</w:t>
            </w:r>
          </w:p>
        </w:tc>
        <w:tc>
          <w:tcPr>
            <w:tcW w:w="396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414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负责人或第一作者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主要成员排名为第二、第三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一般成员或其它作者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国际级科技学术竞赛或科研成果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第1名（等）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30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25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第2名（等）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25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20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第3名（等）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20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restart"/>
            <w:vAlign w:val="center"/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国家级科技学术竞赛或科研成果：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“挑战杯”全国大学生课外学术科技作品竞赛；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“挑战杯•创青春”大学生创业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eastAsia="zh-CN" w:bidi="en-US"/>
              </w:rPr>
              <w:t>计划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大赛；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全国周培源大学生力学竞赛；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全国大学生结构设计竞赛；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全国高等学校大学生测绘技能竞赛；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全国大学生交通科技大赛；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高教杯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全国大学生先进成图技术与产品信息建模创新大赛；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高等学校测绘学科大学生科技创新论文大赛；等</w:t>
            </w:r>
          </w:p>
          <w:p>
            <w:pPr>
              <w:spacing w:line="276" w:lineRule="auto"/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第1名（等）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20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第2名（等）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第3名（等）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restart"/>
            <w:vAlign w:val="center"/>
          </w:tcPr>
          <w:p>
            <w:pPr>
              <w:spacing w:line="276" w:lineRule="auto"/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省级科技学术竞赛或科研成果：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“挑战杯”全国大学生课外学术科技作品竞赛；“挑战杯•创青春”广东大学生创业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eastAsia="zh-CN" w:bidi="en-US"/>
              </w:rPr>
              <w:t>计划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广东省大学生结构设计竞赛；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广东省CAD图形技能及创新大赛；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中南地区结构设计竞赛；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“广厦杯”粤港澳高校结构设计信息技术大赛；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赢在广州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大学生创业大赛；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第九届“新道杯”广东大学生企业经营模拟沙盘大赛；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“南网杯”第九届广东大中专学生节能减排工业设计大赛；2016年广东省工科大学生综合实验技能大赛；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第1名（等）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第2名（等）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第3名（等）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restart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校级科技学术竞赛或科研成果：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“挑战杯”广东工业大学学生课外学术科技作品竞赛；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广州大学城校际实验技能邀请赛；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赢在广州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大学生创业大赛校内选拔赛；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广东工业大学综合实验技能竞赛；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中山大学纸桥大赛（中山大学工学院结构设计大赛）；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华南农业大学紫荆科技节之桥梁设计大赛；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广州大学学术科技节之结构设计竞赛；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广东工业大学力学架构大赛；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水上人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家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创新大赛；等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第1名（等）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第2名（等）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第3名（等）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restart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学院级学术科技竞赛：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华南理工大学科技文化节之土木结构设计大赛；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深圳大学海岸杯结构模型设计大赛；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城市公用设备系绘图及实例设计大赛；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 xml:space="preserve"> “Mr. 扑克费思”扑克承重大赛；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旧桥改造大赛；地标模型设计大赛；等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第1名（等）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4146" w:type="dxa"/>
            <w:vMerge w:val="continue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第2、3名（等）</w:t>
            </w:r>
          </w:p>
        </w:tc>
        <w:tc>
          <w:tcPr>
            <w:tcW w:w="113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15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0.5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>注：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同一项目参加不同级别学术科技竞赛或被评为不同级别的科研成果，</w:t>
      </w:r>
      <w:r>
        <w:rPr>
          <w:rFonts w:hint="eastAsia" w:ascii="Times New Roman" w:hAnsi="Times New Roman"/>
          <w:color w:val="auto"/>
          <w:sz w:val="22"/>
          <w:highlight w:val="none"/>
          <w:lang w:eastAsia="zh-CN"/>
        </w:rPr>
        <w:t>作为不同项目（作品）作者或成员参加同一</w:t>
      </w:r>
      <w:r>
        <w:rPr>
          <w:rFonts w:ascii="Times New Roman" w:hAnsi="Times New Roman"/>
          <w:color w:val="auto"/>
          <w:sz w:val="22"/>
          <w:highlight w:val="none"/>
        </w:rPr>
        <w:t>学术科技竞赛</w:t>
      </w:r>
      <w:r>
        <w:rPr>
          <w:rFonts w:hint="eastAsia" w:ascii="Times New Roman" w:hAnsi="Times New Roman"/>
          <w:color w:val="auto"/>
          <w:sz w:val="22"/>
          <w:highlight w:val="none"/>
          <w:lang w:eastAsia="zh-CN"/>
        </w:rPr>
        <w:t>获奖的，均</w:t>
      </w:r>
      <w:r>
        <w:rPr>
          <w:rFonts w:ascii="Times New Roman" w:hAnsi="Times New Roman"/>
          <w:color w:val="auto"/>
          <w:sz w:val="22"/>
          <w:highlight w:val="none"/>
        </w:rPr>
        <w:t>取最高得分（综合实验技能竞赛同一项目同时获得集体与个人奖项时，只取奖项最高分计分）；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各类竞赛及科研成果的级别由举办方及学校</w:t>
      </w:r>
      <w:r>
        <w:rPr>
          <w:rFonts w:hint="eastAsia" w:ascii="Times New Roman" w:hAnsi="Times New Roman"/>
          <w:color w:val="auto"/>
          <w:sz w:val="22"/>
          <w:highlight w:val="none"/>
        </w:rPr>
        <w:t>有关</w:t>
      </w:r>
      <w:r>
        <w:rPr>
          <w:rFonts w:ascii="Times New Roman" w:hAnsi="Times New Roman"/>
          <w:color w:val="auto"/>
          <w:sz w:val="22"/>
          <w:highlight w:val="none"/>
        </w:rPr>
        <w:t>部门</w:t>
      </w:r>
      <w:r>
        <w:rPr>
          <w:rFonts w:hint="eastAsia" w:ascii="Times New Roman" w:hAnsi="Times New Roman"/>
          <w:color w:val="auto"/>
          <w:sz w:val="22"/>
          <w:highlight w:val="none"/>
        </w:rPr>
        <w:t>（教务处等）</w:t>
      </w:r>
      <w:r>
        <w:rPr>
          <w:rFonts w:ascii="Times New Roman" w:hAnsi="Times New Roman"/>
          <w:color w:val="auto"/>
          <w:sz w:val="22"/>
          <w:highlight w:val="none"/>
        </w:rPr>
        <w:t>共同界定；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在竞赛中获得的一等奖、金奖或特等奖加分均按第一名加分，银奖加分按照第二名加分，铜奖加分按照第三名加分；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hint="eastAsia" w:ascii="Times New Roman" w:hAnsi="Times New Roman"/>
          <w:color w:val="auto"/>
          <w:sz w:val="22"/>
          <w:highlight w:val="none"/>
        </w:rPr>
        <w:t>优胜（秀）奖、单项奖按表格里最末等名次加分标准等比例类推下调加分；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成员排名（负责人、主要成员）需由主办方或指导老师出具证明，否则统一按一般成员加分；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未尽竞赛或科研成果项目可由各年级按实际情况进行补充，上报学院综合测评领导小组审核后进行对应加分，加分仅在测评学年度有效。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（三）个人学术论文论著</w:t>
      </w:r>
    </w:p>
    <w:tbl>
      <w:tblPr>
        <w:tblStyle w:val="6"/>
        <w:tblW w:w="83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2"/>
        <w:gridCol w:w="2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4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级别</w:t>
            </w:r>
          </w:p>
        </w:tc>
        <w:tc>
          <w:tcPr>
            <w:tcW w:w="297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534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三大索引（SCI、EI、ISTP）</w:t>
            </w:r>
          </w:p>
        </w:tc>
        <w:tc>
          <w:tcPr>
            <w:tcW w:w="297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534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中文社会科学引文索引（CSSCI）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中文核心期刊</w:t>
            </w:r>
          </w:p>
        </w:tc>
        <w:tc>
          <w:tcPr>
            <w:tcW w:w="297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4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有CN刊号的正式期刊</w:t>
            </w:r>
          </w:p>
        </w:tc>
        <w:tc>
          <w:tcPr>
            <w:tcW w:w="297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5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 xml:space="preserve">（四）集体或合作作品（学术论文论著） </w:t>
      </w:r>
    </w:p>
    <w:tbl>
      <w:tblPr>
        <w:tblStyle w:val="6"/>
        <w:tblW w:w="83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0"/>
        <w:gridCol w:w="1497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5380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级别</w:t>
            </w:r>
          </w:p>
        </w:tc>
        <w:tc>
          <w:tcPr>
            <w:tcW w:w="299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5380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</w:p>
        </w:tc>
        <w:tc>
          <w:tcPr>
            <w:tcW w:w="14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第一作者</w:t>
            </w:r>
          </w:p>
        </w:tc>
        <w:tc>
          <w:tcPr>
            <w:tcW w:w="149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第二作者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538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三大索引（SCI、EI、ISTP）</w:t>
            </w:r>
          </w:p>
        </w:tc>
        <w:tc>
          <w:tcPr>
            <w:tcW w:w="14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8</w:t>
            </w:r>
          </w:p>
        </w:tc>
        <w:tc>
          <w:tcPr>
            <w:tcW w:w="149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538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中文社会科学引文索引（CSSCI）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中文核心期刊</w:t>
            </w:r>
          </w:p>
        </w:tc>
        <w:tc>
          <w:tcPr>
            <w:tcW w:w="14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6</w:t>
            </w:r>
          </w:p>
        </w:tc>
        <w:tc>
          <w:tcPr>
            <w:tcW w:w="149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538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有CN刊号的正式期刊</w:t>
            </w:r>
          </w:p>
        </w:tc>
        <w:tc>
          <w:tcPr>
            <w:tcW w:w="149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</w:t>
            </w:r>
          </w:p>
        </w:tc>
        <w:tc>
          <w:tcPr>
            <w:tcW w:w="149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（五）被授予专利，按如下标准加分</w:t>
      </w:r>
    </w:p>
    <w:tbl>
      <w:tblPr>
        <w:tblStyle w:val="6"/>
        <w:tblW w:w="83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985"/>
        <w:gridCol w:w="1984"/>
        <w:gridCol w:w="1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240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专利类型</w:t>
            </w:r>
          </w:p>
        </w:tc>
        <w:tc>
          <w:tcPr>
            <w:tcW w:w="198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个人项目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获得者</w:t>
            </w:r>
          </w:p>
        </w:tc>
        <w:tc>
          <w:tcPr>
            <w:tcW w:w="198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集体项目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主要负责人</w:t>
            </w:r>
          </w:p>
        </w:tc>
        <w:tc>
          <w:tcPr>
            <w:tcW w:w="199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集体项目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核心成员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240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发明专利</w:t>
            </w:r>
          </w:p>
        </w:tc>
        <w:tc>
          <w:tcPr>
            <w:tcW w:w="198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  <w:tc>
          <w:tcPr>
            <w:tcW w:w="198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8</w:t>
            </w:r>
          </w:p>
        </w:tc>
        <w:tc>
          <w:tcPr>
            <w:tcW w:w="199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240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实用新型专利</w:t>
            </w:r>
          </w:p>
        </w:tc>
        <w:tc>
          <w:tcPr>
            <w:tcW w:w="198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8</w:t>
            </w:r>
          </w:p>
        </w:tc>
        <w:tc>
          <w:tcPr>
            <w:tcW w:w="198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6</w:t>
            </w:r>
          </w:p>
        </w:tc>
        <w:tc>
          <w:tcPr>
            <w:tcW w:w="199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240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外观设计专利</w:t>
            </w:r>
          </w:p>
        </w:tc>
        <w:tc>
          <w:tcPr>
            <w:tcW w:w="1985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</w:t>
            </w:r>
          </w:p>
        </w:tc>
        <w:tc>
          <w:tcPr>
            <w:tcW w:w="198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</w:t>
            </w:r>
          </w:p>
        </w:tc>
        <w:tc>
          <w:tcPr>
            <w:tcW w:w="199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>注：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被授予专利以获得专利授予证书为准；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需提供文章录用证明或刊物复印件；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当指导老师为第一作者，本人为第二作者时，加分按照第一作者加分，需由指导老师出具证明或提供刊物复印件；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同一著作、学术论文在不同的刊物上发表，只按最高级别标准加分；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以上各类专利如果被转让使用，按双倍加分；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获得专利，又将专利成果发表论文，不累加得分。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color w:val="auto"/>
          <w:sz w:val="24"/>
          <w:highlight w:val="none"/>
        </w:rPr>
      </w:pPr>
      <w:r>
        <w:rPr>
          <w:rFonts w:ascii="Times New Roman" w:hAnsi="Times New Roman"/>
          <w:b/>
          <w:bCs/>
          <w:color w:val="auto"/>
          <w:sz w:val="24"/>
          <w:highlight w:val="none"/>
        </w:rPr>
        <w:t>（六）个人资格证加分</w:t>
      </w:r>
    </w:p>
    <w:tbl>
      <w:tblPr>
        <w:tblStyle w:val="7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3"/>
        <w:gridCol w:w="1157"/>
        <w:gridCol w:w="4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34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证书类型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4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大学英语四级考试（CET-4）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49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大学英语六级考试（CET-6）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333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全国计算机等级考试</w:t>
            </w:r>
          </w:p>
        </w:tc>
        <w:tc>
          <w:tcPr>
            <w:tcW w:w="115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一级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233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二级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233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三级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233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四级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2333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全国计算机水平考试</w:t>
            </w:r>
          </w:p>
        </w:tc>
        <w:tc>
          <w:tcPr>
            <w:tcW w:w="115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一级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2333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</w:p>
        </w:tc>
        <w:tc>
          <w:tcPr>
            <w:tcW w:w="115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二级</w:t>
            </w:r>
          </w:p>
        </w:tc>
        <w:tc>
          <w:tcPr>
            <w:tcW w:w="48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</w:pPr>
            <w:r>
              <w:rPr>
                <w:rFonts w:hint="eastAsia" w:ascii="Times New Roman" w:hAnsi="Times New Roman"/>
                <w:b w:val="0"/>
                <w:bCs w:val="0"/>
                <w:i w:val="0"/>
                <w:iCs w:val="0"/>
                <w:color w:val="auto"/>
                <w:sz w:val="22"/>
                <w:highlight w:val="none"/>
                <w:u w:val="none"/>
              </w:rPr>
              <w:t>3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b/>
          <w:bCs/>
          <w:color w:val="auto"/>
          <w:sz w:val="24"/>
          <w:highlight w:val="none"/>
        </w:rPr>
      </w:pPr>
      <w:r>
        <w:rPr>
          <w:rFonts w:ascii="Times New Roman" w:hAnsi="Times New Roman"/>
          <w:b/>
          <w:bCs/>
          <w:color w:val="auto"/>
          <w:sz w:val="24"/>
          <w:highlight w:val="none"/>
        </w:rPr>
        <w:t>注：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bCs/>
          <w:color w:val="auto"/>
          <w:sz w:val="22"/>
          <w:highlight w:val="none"/>
        </w:rPr>
      </w:pPr>
      <w:r>
        <w:rPr>
          <w:rFonts w:hint="eastAsia" w:ascii="Times New Roman" w:hAnsi="Times New Roman"/>
          <w:bCs/>
          <w:color w:val="auto"/>
          <w:sz w:val="22"/>
          <w:highlight w:val="none"/>
        </w:rPr>
        <w:t>四级考试与六级考试可叠加，</w:t>
      </w:r>
      <w:r>
        <w:rPr>
          <w:rFonts w:ascii="Times New Roman" w:hAnsi="Times New Roman"/>
          <w:bCs/>
          <w:color w:val="auto"/>
          <w:sz w:val="22"/>
          <w:highlight w:val="none"/>
        </w:rPr>
        <w:t>同一等级考试</w:t>
      </w:r>
      <w:r>
        <w:rPr>
          <w:rFonts w:hint="eastAsia" w:ascii="Times New Roman" w:hAnsi="Times New Roman"/>
          <w:bCs/>
          <w:color w:val="auto"/>
          <w:sz w:val="22"/>
          <w:highlight w:val="none"/>
        </w:rPr>
        <w:t>在其他综测年度已加分的，不多次累计加分</w:t>
      </w:r>
      <w:r>
        <w:rPr>
          <w:rFonts w:ascii="Times New Roman" w:hAnsi="Times New Roman"/>
          <w:bCs/>
          <w:color w:val="auto"/>
          <w:sz w:val="22"/>
          <w:highlight w:val="none"/>
        </w:rPr>
        <w:t>；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CET-4、CET-6口语考试、驾照考试不予加分</w:t>
      </w:r>
      <w:r>
        <w:rPr>
          <w:rFonts w:hint="eastAsia" w:ascii="Times New Roman" w:hAnsi="Times New Roman"/>
          <w:color w:val="auto"/>
          <w:sz w:val="22"/>
          <w:highlight w:val="none"/>
        </w:rPr>
        <w:t>。</w:t>
      </w:r>
    </w:p>
    <w:p>
      <w:pPr>
        <w:pStyle w:val="9"/>
        <w:spacing w:line="360" w:lineRule="auto"/>
        <w:ind w:firstLine="0" w:firstLineChars="0"/>
        <w:rPr>
          <w:rFonts w:ascii="Times New Roman" w:hAnsi="Times New Roman"/>
          <w:color w:val="auto"/>
          <w:sz w:val="22"/>
          <w:highlight w:val="none"/>
        </w:rPr>
      </w:pP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color w:val="auto"/>
          <w:sz w:val="24"/>
          <w:highlight w:val="none"/>
        </w:rPr>
      </w:pPr>
      <w:r>
        <w:rPr>
          <w:rFonts w:hint="eastAsia" w:ascii="Times New Roman" w:hAnsi="Times New Roman"/>
          <w:b/>
          <w:bCs/>
          <w:color w:val="auto"/>
          <w:sz w:val="24"/>
          <w:highlight w:val="none"/>
        </w:rPr>
        <w:t>（七）积极参与科技创新实践活动奖励加分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hint="eastAsia" w:ascii="Times New Roman" w:hAnsi="Times New Roman"/>
          <w:color w:val="auto"/>
          <w:sz w:val="24"/>
          <w:highlight w:val="none"/>
        </w:rPr>
        <w:t>参加大学生创新创业计划、训练、实践项目并成功立项、按期结项的同学，可获奖励加分。具体如下：</w:t>
      </w:r>
    </w:p>
    <w:tbl>
      <w:tblPr>
        <w:tblStyle w:val="6"/>
        <w:tblpPr w:leftFromText="180" w:rightFromText="180" w:vertAnchor="text" w:tblpXSpec="center" w:tblpY="1"/>
        <w:tblOverlap w:val="never"/>
        <w:tblW w:w="80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5"/>
        <w:gridCol w:w="1376"/>
        <w:gridCol w:w="1684"/>
        <w:gridCol w:w="126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254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项目</w:t>
            </w:r>
          </w:p>
        </w:tc>
        <w:tc>
          <w:tcPr>
            <w:tcW w:w="3060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情况</w:t>
            </w:r>
          </w:p>
        </w:tc>
        <w:tc>
          <w:tcPr>
            <w:tcW w:w="249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254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3060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负责人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其他成员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545" w:type="dxa"/>
            <w:vMerge w:val="restart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大学生创新创业计划、训练、实践项目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立项</w:t>
            </w:r>
          </w:p>
        </w:tc>
        <w:tc>
          <w:tcPr>
            <w:tcW w:w="12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123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545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376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4"/>
                <w:highlight w:val="none"/>
              </w:rPr>
              <w:t>按期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结项</w:t>
            </w:r>
          </w:p>
        </w:tc>
        <w:tc>
          <w:tcPr>
            <w:tcW w:w="168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优秀</w:t>
            </w:r>
          </w:p>
        </w:tc>
        <w:tc>
          <w:tcPr>
            <w:tcW w:w="12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123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2545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一般/通过</w:t>
            </w:r>
          </w:p>
        </w:tc>
        <w:tc>
          <w:tcPr>
            <w:tcW w:w="126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23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b/>
          <w:bCs/>
          <w:color w:val="auto"/>
          <w:sz w:val="24"/>
          <w:highlight w:val="none"/>
        </w:rPr>
      </w:pPr>
      <w:r>
        <w:rPr>
          <w:rFonts w:ascii="Times New Roman" w:hAnsi="Times New Roman"/>
          <w:b/>
          <w:bCs/>
          <w:color w:val="auto"/>
          <w:sz w:val="24"/>
          <w:highlight w:val="none"/>
        </w:rPr>
        <w:t>注：</w:t>
      </w:r>
    </w:p>
    <w:p>
      <w:pPr>
        <w:pStyle w:val="9"/>
        <w:numPr>
          <w:ilvl w:val="3"/>
          <w:numId w:val="5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hint="eastAsia" w:ascii="Times New Roman" w:hAnsi="Times New Roman"/>
          <w:color w:val="auto"/>
          <w:sz w:val="22"/>
          <w:highlight w:val="none"/>
        </w:rPr>
        <w:t>同时参与多各项目立项、结项的同学，取最高加分项加分，不多个累加。</w:t>
      </w:r>
    </w:p>
    <w:p>
      <w:pPr>
        <w:spacing w:line="360" w:lineRule="auto"/>
        <w:rPr>
          <w:rFonts w:ascii="Times New Roman" w:hAnsi="Times New Roman"/>
          <w:bCs/>
          <w:color w:val="auto"/>
          <w:sz w:val="24"/>
          <w:highlight w:val="none"/>
        </w:rPr>
      </w:pPr>
    </w:p>
    <w:p>
      <w:pPr>
        <w:pStyle w:val="9"/>
        <w:spacing w:line="360" w:lineRule="auto"/>
        <w:ind w:firstLine="0" w:firstLineChars="0"/>
        <w:rPr>
          <w:rFonts w:ascii="Times New Roman" w:hAnsi="Times New Roman"/>
          <w:color w:val="auto"/>
          <w:sz w:val="22"/>
          <w:highlight w:val="none"/>
        </w:rPr>
      </w:pP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  <w:highlight w:val="none"/>
        </w:rPr>
      </w:pPr>
    </w:p>
    <w:p>
      <w:pPr>
        <w:spacing w:line="360" w:lineRule="auto"/>
        <w:rPr>
          <w:rFonts w:ascii="Times New Roman" w:hAnsi="Times New Roman"/>
          <w:b/>
          <w:color w:val="auto"/>
          <w:sz w:val="28"/>
          <w:szCs w:val="28"/>
          <w:highlight w:val="none"/>
        </w:rPr>
        <w:sectPr>
          <w:pgSz w:w="11906" w:h="16838"/>
          <w:pgMar w:top="1701" w:right="1531" w:bottom="1701" w:left="1531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/>
          <w:b/>
          <w:color w:val="auto"/>
          <w:sz w:val="28"/>
          <w:szCs w:val="28"/>
          <w:highlight w:val="none"/>
        </w:rPr>
        <w:t>第四部分 社会实践评价</w:t>
      </w: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社会实践评价分（S）由学生工作加分（S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1</w:t>
      </w:r>
      <w:r>
        <w:rPr>
          <w:rFonts w:ascii="Times New Roman" w:hAnsi="Times New Roman"/>
          <w:color w:val="auto"/>
          <w:sz w:val="24"/>
          <w:highlight w:val="none"/>
        </w:rPr>
        <w:t>）社会服务加分（S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2</w:t>
      </w:r>
      <w:r>
        <w:rPr>
          <w:rFonts w:ascii="Times New Roman" w:hAnsi="Times New Roman"/>
          <w:color w:val="auto"/>
          <w:sz w:val="24"/>
          <w:highlight w:val="none"/>
        </w:rPr>
        <w:t>）社会服务奖励加分（S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3</w:t>
      </w:r>
      <w:r>
        <w:rPr>
          <w:rFonts w:ascii="Times New Roman" w:hAnsi="Times New Roman"/>
          <w:color w:val="auto"/>
          <w:sz w:val="24"/>
          <w:highlight w:val="none"/>
        </w:rPr>
        <w:t>）三部分组成，满分100分。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社会实践评价分S具体计算公式如下：S=S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1</w:t>
      </w:r>
      <w:r>
        <w:rPr>
          <w:rFonts w:ascii="Times New Roman" w:hAnsi="Times New Roman"/>
          <w:color w:val="auto"/>
          <w:sz w:val="24"/>
          <w:highlight w:val="none"/>
        </w:rPr>
        <w:t>+S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2</w:t>
      </w:r>
      <w:r>
        <w:rPr>
          <w:rFonts w:ascii="Times New Roman" w:hAnsi="Times New Roman"/>
          <w:color w:val="auto"/>
          <w:sz w:val="24"/>
          <w:highlight w:val="none"/>
        </w:rPr>
        <w:t>+S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 xml:space="preserve">3 </w:t>
      </w:r>
      <w:r>
        <w:rPr>
          <w:rFonts w:ascii="Times New Roman" w:hAnsi="Times New Roman"/>
          <w:color w:val="auto"/>
          <w:sz w:val="24"/>
          <w:highlight w:val="none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vertAlign w:val="subscript"/>
        </w:rPr>
      </w:pPr>
      <w:r>
        <w:rPr>
          <w:rFonts w:ascii="Times New Roman" w:hAnsi="Times New Roman"/>
          <w:color w:val="auto"/>
          <w:sz w:val="24"/>
          <w:highlight w:val="none"/>
        </w:rPr>
        <w:t>一、学生工作加分S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1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任职满一年，经所属上级指导部门（学校团委或学院等）考核称职的，可按以下标准相应加分；经考核不称职的，不能加分。</w:t>
      </w:r>
    </w:p>
    <w:tbl>
      <w:tblPr>
        <w:tblStyle w:val="6"/>
        <w:tblW w:w="905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894"/>
        <w:gridCol w:w="3927"/>
        <w:gridCol w:w="904"/>
        <w:gridCol w:w="906"/>
        <w:gridCol w:w="8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622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担任职务</w:t>
            </w:r>
          </w:p>
        </w:tc>
        <w:tc>
          <w:tcPr>
            <w:tcW w:w="89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级别</w:t>
            </w:r>
          </w:p>
        </w:tc>
        <w:tc>
          <w:tcPr>
            <w:tcW w:w="3927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职务名称</w:t>
            </w:r>
          </w:p>
        </w:tc>
        <w:tc>
          <w:tcPr>
            <w:tcW w:w="2612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满一年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</w:p>
        </w:tc>
        <w:tc>
          <w:tcPr>
            <w:tcW w:w="90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优秀</w:t>
            </w:r>
          </w:p>
        </w:tc>
        <w:tc>
          <w:tcPr>
            <w:tcW w:w="90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良好</w:t>
            </w:r>
          </w:p>
        </w:tc>
        <w:tc>
          <w:tcPr>
            <w:tcW w:w="80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t>称职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1" w:hRule="atLeast"/>
          <w:jc w:val="center"/>
        </w:trPr>
        <w:tc>
          <w:tcPr>
            <w:tcW w:w="1622" w:type="dxa"/>
            <w:vMerge w:val="restart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学校团委直接指导的校级学生组织主要负责人（含正、副职干部）；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学院团委直接指导的院级学生组织主要负责人（含正、副职干部）</w:t>
            </w:r>
          </w:p>
        </w:tc>
        <w:tc>
          <w:tcPr>
            <w:tcW w:w="89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校级</w:t>
            </w: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团委办公室副主任、学生副书记，学生会正、副主席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院级</w:t>
            </w:r>
          </w:p>
        </w:tc>
        <w:tc>
          <w:tcPr>
            <w:tcW w:w="39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团委学生副书记、秘书长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学生会正、副主席、秘书长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启明星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学生党建平台会长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红会秘书长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心协正、副主席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青志正、副主席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筑业工作平台正、副主席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节能环保协会正、副会长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创想工作室正、副会长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40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622" w:type="dxa"/>
            <w:vMerge w:val="restart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学校团委直接指导的校级学生组织正、副部长；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学院团委直接指导的院级学生组织正、副部长；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党支部书记，团支部书记，正、副班长，学生工作助理</w:t>
            </w:r>
          </w:p>
        </w:tc>
        <w:tc>
          <w:tcPr>
            <w:tcW w:w="89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校级</w:t>
            </w: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团委各部门正、副部长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学生会各部门正、副部长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学生社团联合会各部门正、副部长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红会各部门正、副部长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青志各部门正、副部长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新闻中心正、副部长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心协各部门正、副部长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青春健康协会各部门正、副部长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学生食堂监督委员会各部门正、副部长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院级</w:t>
            </w: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团学组织各部门正、副部长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启明星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学生党建平台、红会、心协、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团辅工作室、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青志、节协、筑业工作平台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、创想工作室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下辖各部门正、副部长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团委书记处助理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学生会主席助理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艺术团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（裁判团）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团长、副团长、辩论队队长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红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eastAsia="zh-CN"/>
              </w:rPr>
              <w:t>十字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会会长助理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心协、青协、筑业平台主席助理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，创想工作室顾问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党支部书记、团支部书记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正、副班长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" w:hRule="atLeast"/>
          <w:jc w:val="center"/>
        </w:trPr>
        <w:tc>
          <w:tcPr>
            <w:tcW w:w="162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辅导员助理、班主任助理、医保联络员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38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28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622" w:type="dxa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学生社团主要负责人（正、副职干部），国防生模拟训练营排长以上干部，国防生团总支部长以上干部</w:t>
            </w:r>
          </w:p>
        </w:tc>
        <w:tc>
          <w:tcPr>
            <w:tcW w:w="894" w:type="dxa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校级</w:t>
            </w:r>
          </w:p>
        </w:tc>
        <w:tc>
          <w:tcPr>
            <w:tcW w:w="39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各学生社团、协会正、副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部长以上干部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35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25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62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校级、院级学生组织的干事，党支部委员，团支部委员，班级委员，国防生模拟训练营与国防生团总支其他干部</w:t>
            </w:r>
          </w:p>
        </w:tc>
        <w:tc>
          <w:tcPr>
            <w:tcW w:w="89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校级</w:t>
            </w:r>
          </w:p>
        </w:tc>
        <w:tc>
          <w:tcPr>
            <w:tcW w:w="392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团委部门干事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学生会部门干事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学生社团联合会干事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红会部门干事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青志干事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新闻中心干事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心协干事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青春健康协会干事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院级</w:t>
            </w:r>
          </w:p>
        </w:tc>
        <w:tc>
          <w:tcPr>
            <w:tcW w:w="392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团学组织各部门干事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启明星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学生党建平台、红会、心协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（包括兄弟连团队成员）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、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团辅工作室、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青协、节协、筑业工作平台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、创想工作室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下辖各部门干事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党支部委员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艺术团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、裁判团</w:t>
            </w: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成员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622" w:type="dxa"/>
            <w:vMerge w:val="continue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894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</w:p>
        </w:tc>
        <w:tc>
          <w:tcPr>
            <w:tcW w:w="3927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班级、团支部委员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</w:rPr>
              <w:t>、班级青春健康使者</w:t>
            </w:r>
          </w:p>
        </w:tc>
        <w:tc>
          <w:tcPr>
            <w:tcW w:w="904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30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20</w:t>
            </w:r>
          </w:p>
        </w:tc>
        <w:tc>
          <w:tcPr>
            <w:tcW w:w="802" w:type="dxa"/>
            <w:tcBorders>
              <w:lef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</w:rPr>
              <w:t>10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b/>
          <w:bCs/>
          <w:color w:val="auto"/>
          <w:sz w:val="24"/>
          <w:highlight w:val="none"/>
        </w:rPr>
      </w:pPr>
      <w:r>
        <w:rPr>
          <w:rFonts w:ascii="Times New Roman" w:hAnsi="Times New Roman"/>
          <w:b/>
          <w:bCs/>
          <w:color w:val="auto"/>
          <w:sz w:val="24"/>
          <w:highlight w:val="none"/>
        </w:rPr>
        <w:t>注：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b/>
          <w:bCs w:val="0"/>
          <w:color w:val="auto"/>
          <w:sz w:val="22"/>
          <w:highlight w:val="none"/>
          <w:u w:val="single"/>
        </w:rPr>
      </w:pPr>
      <w:r>
        <w:rPr>
          <w:rFonts w:ascii="Times New Roman" w:hAnsi="Times New Roman"/>
          <w:bCs/>
          <w:color w:val="auto"/>
          <w:sz w:val="22"/>
          <w:highlight w:val="none"/>
        </w:rPr>
        <w:t>校级各学生工作组织干部由校团委出具加分证明；国防生干部由国防生管理办公室出具加分证明；院级各学生工作组织干部由各组织出具加分证明，并由相应指导老师审批</w:t>
      </w:r>
      <w:r>
        <w:rPr>
          <w:rFonts w:hint="eastAsia" w:ascii="Times New Roman" w:hAnsi="Times New Roman"/>
          <w:bCs/>
          <w:color w:val="auto"/>
          <w:sz w:val="22"/>
          <w:highlight w:val="none"/>
        </w:rPr>
        <w:t>并可据实调整</w:t>
      </w:r>
      <w:r>
        <w:rPr>
          <w:rFonts w:ascii="Times New Roman" w:hAnsi="Times New Roman"/>
          <w:bCs/>
          <w:color w:val="auto"/>
          <w:sz w:val="22"/>
          <w:highlight w:val="none"/>
        </w:rPr>
        <w:t>；党支部书记、辅导员作助理、班主任助理，各年级医保联络员由分管辅导员出具加分证明；</w:t>
      </w:r>
      <w:r>
        <w:rPr>
          <w:rFonts w:hint="eastAsia" w:ascii="Times New Roman" w:hAnsi="Times New Roman"/>
          <w:bCs/>
          <w:color w:val="auto"/>
          <w:sz w:val="22"/>
          <w:highlight w:val="none"/>
        </w:rPr>
        <w:t>班长、</w:t>
      </w:r>
      <w:r>
        <w:rPr>
          <w:rFonts w:ascii="Times New Roman" w:hAnsi="Times New Roman"/>
          <w:bCs/>
          <w:color w:val="auto"/>
          <w:sz w:val="22"/>
          <w:highlight w:val="none"/>
        </w:rPr>
        <w:t>班</w:t>
      </w:r>
      <w:r>
        <w:rPr>
          <w:rFonts w:hint="eastAsia" w:ascii="Times New Roman" w:hAnsi="Times New Roman"/>
          <w:bCs/>
          <w:color w:val="auto"/>
          <w:sz w:val="22"/>
          <w:highlight w:val="none"/>
        </w:rPr>
        <w:t>级委员，团支书、</w:t>
      </w:r>
      <w:r>
        <w:rPr>
          <w:rFonts w:ascii="Times New Roman" w:hAnsi="Times New Roman"/>
          <w:bCs/>
          <w:color w:val="auto"/>
          <w:sz w:val="22"/>
          <w:highlight w:val="none"/>
        </w:rPr>
        <w:t>团支委加分</w:t>
      </w:r>
      <w:r>
        <w:rPr>
          <w:rFonts w:hint="eastAsia" w:ascii="Times New Roman" w:hAnsi="Times New Roman"/>
          <w:bCs/>
          <w:color w:val="auto"/>
          <w:sz w:val="22"/>
          <w:highlight w:val="none"/>
        </w:rPr>
        <w:t>全班同学打分后取平均分</w:t>
      </w:r>
      <w:r>
        <w:rPr>
          <w:rFonts w:ascii="Times New Roman" w:hAnsi="Times New Roman"/>
          <w:bCs/>
          <w:color w:val="auto"/>
          <w:sz w:val="22"/>
          <w:highlight w:val="none"/>
        </w:rPr>
        <w:t>，班主任</w:t>
      </w:r>
      <w:r>
        <w:rPr>
          <w:rFonts w:hint="eastAsia" w:ascii="Times New Roman" w:hAnsi="Times New Roman"/>
          <w:b w:val="0"/>
          <w:bCs/>
          <w:color w:val="auto"/>
          <w:sz w:val="22"/>
          <w:highlight w:val="none"/>
          <w:u w:val="none"/>
        </w:rPr>
        <w:t>或辅导员审核并可据实调整</w:t>
      </w:r>
      <w:r>
        <w:rPr>
          <w:rFonts w:hint="eastAsia" w:ascii="Times New Roman" w:hAnsi="Times New Roman"/>
          <w:b w:val="0"/>
          <w:bCs/>
          <w:color w:val="auto"/>
          <w:sz w:val="22"/>
          <w:highlight w:val="none"/>
          <w:u w:val="none"/>
          <w:lang w:eastAsia="zh-CN"/>
        </w:rPr>
        <w:t>，其中团支书的打分学院团委打分占一定比例</w:t>
      </w:r>
      <w:r>
        <w:rPr>
          <w:rFonts w:ascii="Times New Roman" w:hAnsi="Times New Roman"/>
          <w:b w:val="0"/>
          <w:bCs/>
          <w:color w:val="auto"/>
          <w:sz w:val="22"/>
          <w:highlight w:val="none"/>
          <w:u w:val="none"/>
        </w:rPr>
        <w:t>。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bCs/>
          <w:color w:val="auto"/>
          <w:sz w:val="22"/>
          <w:highlight w:val="none"/>
        </w:rPr>
      </w:pPr>
      <w:r>
        <w:rPr>
          <w:rFonts w:ascii="Times New Roman" w:hAnsi="Times New Roman"/>
          <w:bCs/>
          <w:color w:val="auto"/>
          <w:sz w:val="22"/>
          <w:highlight w:val="none"/>
        </w:rPr>
        <w:t>学生干部兼任多个职务的，只计最高分一项；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bCs/>
          <w:color w:val="auto"/>
          <w:sz w:val="22"/>
          <w:highlight w:val="none"/>
        </w:rPr>
      </w:pPr>
      <w:r>
        <w:rPr>
          <w:rFonts w:ascii="Times New Roman" w:hAnsi="Times New Roman"/>
          <w:bCs/>
          <w:color w:val="auto"/>
          <w:sz w:val="22"/>
          <w:highlight w:val="none"/>
        </w:rPr>
        <w:t>学生获得同类荣誉的，按最高一项计分；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bCs/>
          <w:color w:val="auto"/>
          <w:sz w:val="22"/>
          <w:highlight w:val="none"/>
        </w:rPr>
      </w:pPr>
      <w:r>
        <w:rPr>
          <w:rFonts w:hint="eastAsia" w:ascii="Times New Roman" w:hAnsi="Times New Roman"/>
          <w:bCs/>
          <w:color w:val="auto"/>
          <w:sz w:val="22"/>
          <w:highlight w:val="none"/>
        </w:rPr>
        <w:t>学院艺术团各表演小组组长按优秀：35，良好：25，称职：15的加分标准加分；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rFonts w:ascii="Times New Roman" w:hAnsi="Times New Roman"/>
          <w:bCs/>
          <w:color w:val="auto"/>
          <w:sz w:val="22"/>
          <w:highlight w:val="none"/>
        </w:rPr>
      </w:pPr>
      <w:r>
        <w:rPr>
          <w:rFonts w:ascii="Times New Roman" w:hAnsi="Times New Roman"/>
          <w:bCs/>
          <w:color w:val="auto"/>
          <w:sz w:val="22"/>
          <w:highlight w:val="none"/>
        </w:rPr>
        <w:t>未尽项目可由各年级按实际情况进行补充，上报学院综合测评领导小组审核后进行对应加分，加分仅在测评学年度有效。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二、社会服务加分S</w:t>
      </w:r>
      <w:r>
        <w:rPr>
          <w:rFonts w:ascii="Times New Roman" w:hAnsi="Times New Roman"/>
          <w:color w:val="auto"/>
          <w:sz w:val="24"/>
          <w:highlight w:val="none"/>
          <w:vertAlign w:val="subscript"/>
          <w:lang w:bidi="en-US"/>
        </w:rPr>
        <w:t>2</w:t>
      </w:r>
      <w:r>
        <w:rPr>
          <w:rFonts w:ascii="Times New Roman" w:hAnsi="Times New Roman"/>
          <w:color w:val="auto"/>
          <w:sz w:val="24"/>
          <w:highlight w:val="none"/>
          <w:lang w:bidi="en-US"/>
        </w:rPr>
        <w:t>（满分40分）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每位在校本、专科学生每年必须参加至少100小时的社会服务活动，包括假期社会实践活动、校内和校外的志愿服务活动。其中寒暑假参加社会服务必须满50小时，寒暑假以外的课余时间参加社会服务也须满50小时；参加社会服务1天按8小时计。学生参加校内外有偿社会服务（如社会兼职、勤工助学等）的时长每学年最多计30小时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社会服务活动超过100小时（含100小时）的学生，可以加40分，学院团委按相关规定给予确认。没有完成社会服务工时的，按少1小时扣0.5分的标准相应扣分，但扣分不超过40分。每学年初缺交实践报告或实践报告不完整（不少于2000字）扣5分，缺交《社会实践写实记录及考核登记本》或填写不符合规范扣5分。具体内容请参照《广东工业大学全日制本专科学生社会实践组织实施办法（试行）》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三、社会服务奖励加分标准S</w:t>
      </w:r>
      <w:r>
        <w:rPr>
          <w:rFonts w:ascii="Times New Roman" w:hAnsi="Times New Roman"/>
          <w:color w:val="auto"/>
          <w:sz w:val="24"/>
          <w:highlight w:val="none"/>
          <w:vertAlign w:val="subscript"/>
        </w:rPr>
        <w:t>3</w:t>
      </w:r>
      <w:r>
        <w:rPr>
          <w:rFonts w:ascii="Times New Roman" w:hAnsi="Times New Roman"/>
          <w:color w:val="auto"/>
          <w:sz w:val="24"/>
          <w:highlight w:val="none"/>
        </w:rPr>
        <w:t>（满分20分）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4"/>
          <w:highlight w:val="none"/>
        </w:rPr>
        <w:t>在校内、校外的志愿服务活动和假期社会实践活动中表现突出，并被评为先进个人或受到嘉奖的，可获得社会服务奖励加分。具体加分按照以下标准：</w:t>
      </w:r>
    </w:p>
    <w:tbl>
      <w:tblPr>
        <w:tblStyle w:val="6"/>
        <w:tblW w:w="8522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0"/>
        <w:gridCol w:w="1276"/>
        <w:gridCol w:w="13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592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获奖等级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个人项目</w:t>
            </w:r>
          </w:p>
        </w:tc>
        <w:tc>
          <w:tcPr>
            <w:tcW w:w="13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集体项目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592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省级以上（含省级）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20</w:t>
            </w:r>
          </w:p>
        </w:tc>
        <w:tc>
          <w:tcPr>
            <w:tcW w:w="13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92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校级（含厅级）：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学校暑期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三下乡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先进个人及优秀队伍；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学校寒假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回访母校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先进个人及优秀队伍；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学校组织的各类校内外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highlight w:val="none"/>
                <w:lang w:bidi="en-US"/>
              </w:rPr>
              <w:t>具体项目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社会实践或志愿服务中评选出来的优秀个人及队伍（优秀地铁志愿者等）；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学校评选的无偿献血优秀个人。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5920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校级以下（含学院、社区）：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学院评选的优秀社会实践个人及队伍；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学院组织的各类校内外</w:t>
            </w:r>
            <w:r>
              <w:rPr>
                <w:rFonts w:hint="eastAsia" w:ascii="Times New Roman" w:hAnsi="Times New Roman"/>
                <w:b/>
                <w:bCs/>
                <w:color w:val="auto"/>
                <w:sz w:val="22"/>
                <w:highlight w:val="none"/>
                <w:lang w:bidi="en-US"/>
              </w:rPr>
              <w:t>具体项目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社会实践或志愿服务中评选出来的优秀个人及队伍。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13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b/>
          <w:color w:val="auto"/>
          <w:sz w:val="24"/>
          <w:highlight w:val="none"/>
        </w:rPr>
      </w:pPr>
      <w:r>
        <w:rPr>
          <w:rFonts w:ascii="Times New Roman" w:hAnsi="Times New Roman"/>
          <w:b/>
          <w:color w:val="auto"/>
          <w:sz w:val="24"/>
          <w:highlight w:val="none"/>
        </w:rPr>
        <w:t>注：</w:t>
      </w:r>
    </w:p>
    <w:p>
      <w:pPr>
        <w:pStyle w:val="9"/>
        <w:numPr>
          <w:ilvl w:val="0"/>
          <w:numId w:val="7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由校内外有关组织或单位提供荣誉证明</w:t>
      </w:r>
      <w:r>
        <w:rPr>
          <w:rFonts w:hint="eastAsia" w:ascii="Times New Roman" w:hAnsi="Times New Roman"/>
          <w:color w:val="auto"/>
          <w:sz w:val="22"/>
          <w:highlight w:val="none"/>
        </w:rPr>
        <w:t>，辅导员老师核准</w:t>
      </w:r>
      <w:r>
        <w:rPr>
          <w:rFonts w:ascii="Times New Roman" w:hAnsi="Times New Roman"/>
          <w:color w:val="auto"/>
          <w:sz w:val="22"/>
          <w:highlight w:val="none"/>
        </w:rPr>
        <w:t>；</w:t>
      </w:r>
    </w:p>
    <w:p>
      <w:pPr>
        <w:pStyle w:val="9"/>
        <w:numPr>
          <w:ilvl w:val="0"/>
          <w:numId w:val="7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</w:rPr>
      </w:pPr>
      <w:r>
        <w:rPr>
          <w:rFonts w:hint="eastAsia" w:ascii="Times New Roman" w:hAnsi="Times New Roman"/>
          <w:color w:val="auto"/>
          <w:sz w:val="22"/>
          <w:highlight w:val="none"/>
        </w:rPr>
        <w:t>可累计加分，此项满分20分；</w:t>
      </w:r>
    </w:p>
    <w:p>
      <w:pPr>
        <w:pStyle w:val="9"/>
        <w:numPr>
          <w:ilvl w:val="0"/>
          <w:numId w:val="7"/>
        </w:numPr>
        <w:spacing w:line="360" w:lineRule="auto"/>
        <w:ind w:firstLineChars="0"/>
        <w:rPr>
          <w:rFonts w:ascii="Times New Roman" w:hAnsi="Times New Roman"/>
          <w:b w:val="0"/>
          <w:bCs w:val="0"/>
          <w:color w:val="auto"/>
          <w:sz w:val="22"/>
          <w:highlight w:val="none"/>
          <w:u w:val="none"/>
        </w:rPr>
      </w:pPr>
      <w:r>
        <w:rPr>
          <w:rFonts w:hint="eastAsia" w:ascii="Times New Roman" w:hAnsi="Times New Roman"/>
          <w:b w:val="0"/>
          <w:bCs w:val="0"/>
          <w:color w:val="auto"/>
          <w:sz w:val="22"/>
          <w:highlight w:val="none"/>
          <w:u w:val="none"/>
        </w:rPr>
        <w:t>以参与校外社会实践或志愿服务项目加分的，主办或承办单位必须为各级教育主管部门或者各级党团委员会，否则不予考虑加分。</w:t>
      </w:r>
    </w:p>
    <w:p>
      <w:pPr>
        <w:pStyle w:val="9"/>
        <w:numPr>
          <w:ilvl w:val="0"/>
          <w:numId w:val="7"/>
        </w:numPr>
        <w:spacing w:line="360" w:lineRule="auto"/>
        <w:ind w:firstLineChars="0"/>
        <w:rPr>
          <w:rFonts w:ascii="Times New Roman" w:hAnsi="Times New Roman"/>
          <w:color w:val="auto"/>
          <w:sz w:val="24"/>
          <w:highlight w:val="none"/>
        </w:rPr>
      </w:pPr>
      <w:r>
        <w:rPr>
          <w:rFonts w:ascii="Times New Roman" w:hAnsi="Times New Roman"/>
          <w:color w:val="auto"/>
          <w:sz w:val="22"/>
          <w:highlight w:val="none"/>
        </w:rPr>
        <w:t>未尽项目可由各年级按实际情况进行补充，上报学院综合测评领导小组审核后进行对应加分，加分仅在测评学年度有效。</w:t>
      </w: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</w:rPr>
      </w:pPr>
    </w:p>
    <w:p>
      <w:pPr>
        <w:spacing w:line="360" w:lineRule="auto"/>
        <w:rPr>
          <w:rFonts w:ascii="Times New Roman" w:hAnsi="Times New Roman"/>
          <w:b/>
          <w:bCs/>
          <w:color w:val="auto"/>
          <w:sz w:val="28"/>
          <w:szCs w:val="28"/>
          <w:highlight w:val="none"/>
          <w:lang w:bidi="en-US"/>
        </w:rPr>
        <w:sectPr>
          <w:pgSz w:w="11906" w:h="16838"/>
          <w:pgMar w:top="1701" w:right="1531" w:bottom="1701" w:left="1531" w:header="851" w:footer="992" w:gutter="0"/>
          <w:cols w:space="720" w:num="1"/>
          <w:docGrid w:type="lines" w:linePitch="312" w:charSpace="0"/>
        </w:sectPr>
      </w:pPr>
    </w:p>
    <w:p>
      <w:pPr>
        <w:spacing w:line="360" w:lineRule="auto"/>
        <w:jc w:val="center"/>
        <w:rPr>
          <w:rFonts w:ascii="Times New Roman" w:hAnsi="Times New Roman"/>
          <w:b/>
          <w:bCs/>
          <w:color w:val="auto"/>
          <w:sz w:val="28"/>
          <w:szCs w:val="28"/>
          <w:highlight w:val="none"/>
          <w:lang w:bidi="en-US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highlight w:val="none"/>
          <w:lang w:bidi="en-US"/>
        </w:rPr>
        <w:t>第五部分 文体实践评价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文体实践评价分（W）由以下4项组成（可累加，但满分为100分）：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一、体育竞赛破记录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（一）个人项目破记录</w:t>
      </w:r>
    </w:p>
    <w:tbl>
      <w:tblPr>
        <w:tblStyle w:val="6"/>
        <w:tblW w:w="56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级别</w:t>
            </w:r>
          </w:p>
        </w:tc>
        <w:tc>
          <w:tcPr>
            <w:tcW w:w="21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国际级</w:t>
            </w:r>
          </w:p>
        </w:tc>
        <w:tc>
          <w:tcPr>
            <w:tcW w:w="21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</w:t>
            </w:r>
          </w:p>
        </w:tc>
        <w:tc>
          <w:tcPr>
            <w:tcW w:w="21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  级</w:t>
            </w:r>
          </w:p>
        </w:tc>
        <w:tc>
          <w:tcPr>
            <w:tcW w:w="21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学校级</w:t>
            </w:r>
          </w:p>
        </w:tc>
        <w:tc>
          <w:tcPr>
            <w:tcW w:w="212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学院级</w:t>
            </w:r>
          </w:p>
        </w:tc>
        <w:tc>
          <w:tcPr>
            <w:tcW w:w="2126" w:type="dxa"/>
            <w:tcBorders>
              <w:right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（二）集体项目破纪录</w:t>
      </w:r>
    </w:p>
    <w:tbl>
      <w:tblPr>
        <w:tblStyle w:val="6"/>
        <w:tblW w:w="56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7"/>
        <w:gridCol w:w="127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77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级别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977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主力队员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一般队员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国际级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  级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学校级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学院级</w:t>
            </w:r>
          </w:p>
        </w:tc>
        <w:tc>
          <w:tcPr>
            <w:tcW w:w="127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二、参加校内外体育、艺术（声乐、舞蹈、器乐、戏剧、书画、摄影）竞赛等文体活动获奖者，按如下标准加分：</w:t>
      </w:r>
    </w:p>
    <w:p>
      <w:pPr>
        <w:spacing w:line="360" w:lineRule="auto"/>
        <w:ind w:firstLine="480" w:firstLineChars="200"/>
        <w:rPr>
          <w:rFonts w:ascii="Times New Roman" w:hAnsi="Times New Roman"/>
          <w:bCs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（一）个人项目</w:t>
      </w:r>
      <w:r>
        <w:rPr>
          <w:rFonts w:hint="eastAsia" w:ascii="Times New Roman" w:hAnsi="Times New Roman"/>
          <w:bCs/>
          <w:color w:val="auto"/>
          <w:sz w:val="24"/>
          <w:highlight w:val="none"/>
          <w:lang w:bidi="en-US"/>
        </w:rPr>
        <w:t>（具体比赛以测评学年度期间发生的内容为准）</w:t>
      </w:r>
    </w:p>
    <w:tbl>
      <w:tblPr>
        <w:tblStyle w:val="6"/>
        <w:tblW w:w="96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2"/>
        <w:gridCol w:w="1141"/>
        <w:gridCol w:w="1559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6" w:hRule="atLeast"/>
          <w:jc w:val="center"/>
        </w:trPr>
        <w:tc>
          <w:tcPr>
            <w:tcW w:w="5592" w:type="dxa"/>
            <w:tcBorders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Cs w:val="21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highlight w:val="none"/>
              </w:rPr>
              <w:pict>
                <v:line id="直接连接符 11" o:spid="_x0000_s1028" o:spt="20" style="position:absolute;left:0pt;margin-left:-5.15pt;margin-top:-0.05pt;height:53.9pt;width:281.9pt;z-index:251660288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  <w:r>
              <w:rPr>
                <w:rFonts w:ascii="Times New Roman" w:hAnsi="Times New Roman"/>
                <w:b/>
                <w:color w:val="auto"/>
                <w:sz w:val="24"/>
                <w:highlight w:val="none"/>
              </w:rPr>
              <w:pict>
                <v:line id="直接连接符 10" o:spid="_x0000_s1029" o:spt="20" style="position:absolute;left:0pt;margin-left:0pt;margin-top:-0.4pt;height:0.4pt;width:0.05pt;z-index:251661312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  <w:r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  <w:t xml:space="preserve">   </w:t>
            </w:r>
            <w:r>
              <w:rPr>
                <w:rFonts w:ascii="Times New Roman" w:hAnsi="Times New Roman"/>
                <w:b/>
                <w:color w:val="auto"/>
                <w:szCs w:val="21"/>
                <w:highlight w:val="none"/>
                <w:lang w:bidi="en-US"/>
              </w:rPr>
              <w:t xml:space="preserve">                       获奖等级</w:t>
            </w:r>
          </w:p>
          <w:p>
            <w:pPr>
              <w:spacing w:line="276" w:lineRule="auto"/>
              <w:ind w:firstLine="1370" w:firstLineChars="650"/>
              <w:rPr>
                <w:rFonts w:ascii="Times New Roman" w:hAnsi="Times New Roman"/>
                <w:b/>
                <w:color w:val="auto"/>
                <w:szCs w:val="21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Cs w:val="21"/>
                <w:highlight w:val="none"/>
              </w:rPr>
              <w:pict>
                <v:line id="直接连接符 9" o:spid="_x0000_s1030" o:spt="20" style="position:absolute;left:0pt;margin-left:-5.15pt;margin-top:10.4pt;height:25.5pt;width:277.4pt;z-index:251662336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  <w:r>
              <w:rPr>
                <w:rFonts w:ascii="Times New Roman" w:hAnsi="Times New Roman"/>
                <w:b/>
                <w:color w:val="auto"/>
                <w:szCs w:val="21"/>
                <w:highlight w:val="none"/>
                <w:lang w:bidi="en-US"/>
              </w:rPr>
              <w:t>加分</w:t>
            </w:r>
          </w:p>
          <w:p>
            <w:pPr>
              <w:spacing w:line="276" w:lineRule="auto"/>
              <w:ind w:firstLine="632" w:firstLineChars="300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Cs w:val="21"/>
                <w:highlight w:val="none"/>
                <w:lang w:bidi="en-US"/>
              </w:rPr>
              <w:t>等级</w:t>
            </w:r>
          </w:p>
        </w:tc>
        <w:tc>
          <w:tcPr>
            <w:tcW w:w="1141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第1名或一等奖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第2、3名或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二、三等奖</w:t>
            </w:r>
          </w:p>
        </w:tc>
        <w:tc>
          <w:tcPr>
            <w:tcW w:w="1340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第4-8名或优胜奖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59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</w:t>
            </w:r>
          </w:p>
        </w:tc>
        <w:tc>
          <w:tcPr>
            <w:tcW w:w="1141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  <w:tc>
          <w:tcPr>
            <w:tcW w:w="134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592" w:type="dxa"/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省市级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：</w:t>
            </w:r>
          </w:p>
          <w:p>
            <w:pPr>
              <w:spacing w:line="276" w:lineRule="auto"/>
              <w:jc w:val="left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广东大学生新媒体作品创作大赛；</w:t>
            </w:r>
          </w:p>
          <w:p>
            <w:pPr>
              <w:spacing w:line="276" w:lineRule="auto"/>
              <w:jc w:val="left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广东大中专学生舞蹈大赛、广东大中专学生校园十大歌手大赛、广东大学生主持人大赛、广东大中专学生书画艺术作品大赛；等</w:t>
            </w:r>
          </w:p>
        </w:tc>
        <w:tc>
          <w:tcPr>
            <w:tcW w:w="1141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  <w:tc>
          <w:tcPr>
            <w:tcW w:w="155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5</w:t>
            </w:r>
          </w:p>
        </w:tc>
        <w:tc>
          <w:tcPr>
            <w:tcW w:w="134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592" w:type="dxa"/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学校级：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广东工业大学运动会、阳光长跑竞赛、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学生羽毛球单项锦标赛、学生定向运动锦标赛；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我为广工大代言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比赛、广工·印象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系列主题摄影比赛、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新生录取通知书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创意设计大赛、青春健康同伴教育主持人大赛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；校园十大歌手大赛；</w:t>
            </w:r>
            <w:r>
              <w:rPr>
                <w:rFonts w:hint="eastAsia"/>
                <w:b w:val="0"/>
                <w:bCs w:val="0"/>
                <w:color w:val="auto"/>
                <w:highlight w:val="none"/>
                <w:shd w:val="clear" w:color="auto" w:fill="FFFFFF"/>
              </w:rPr>
              <w:t>“我的大学·四年规划”的个人主页设计大赛；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“激舞青春”校园舞蹈大赛；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1141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34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592" w:type="dxa"/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学院级：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“新生杯”篮球赛、“桁架杯”篮球赛；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学院综合运动会；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“创意错位”摄影大赛；冬季阳光长跑；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1141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134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0.5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（二）集体项目</w:t>
      </w:r>
      <w:r>
        <w:rPr>
          <w:rFonts w:hint="eastAsia" w:ascii="Times New Roman" w:hAnsi="Times New Roman"/>
          <w:bCs/>
          <w:color w:val="auto"/>
          <w:sz w:val="24"/>
          <w:highlight w:val="none"/>
          <w:lang w:bidi="en-US"/>
        </w:rPr>
        <w:t>（具体比赛以测评学年度期间发生的内容为准）</w:t>
      </w:r>
    </w:p>
    <w:tbl>
      <w:tblPr>
        <w:tblStyle w:val="6"/>
        <w:tblW w:w="97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1"/>
        <w:gridCol w:w="709"/>
        <w:gridCol w:w="663"/>
        <w:gridCol w:w="754"/>
        <w:gridCol w:w="709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5541" w:type="dxa"/>
            <w:vMerge w:val="restart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highlight w:val="none"/>
              </w:rPr>
              <w:pict>
                <v:line id="直接连接符 8" o:spid="_x0000_s1031" o:spt="20" style="position:absolute;left:0pt;margin-left:-4.85pt;margin-top:1.9pt;height:87.75pt;width:276.65pt;z-index:251664384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  <w:r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  <w:t xml:space="preserve">                                                      </w:t>
            </w:r>
          </w:p>
          <w:p>
            <w:pPr>
              <w:spacing w:line="276" w:lineRule="auto"/>
              <w:ind w:firstLine="482" w:firstLineChars="200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  <w:t xml:space="preserve">                         </w:t>
            </w: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 xml:space="preserve"> 获奖等级</w:t>
            </w:r>
          </w:p>
          <w:p>
            <w:pPr>
              <w:spacing w:line="276" w:lineRule="auto"/>
              <w:ind w:firstLine="883" w:firstLineChars="400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 xml:space="preserve">加分                         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pict>
                <v:line id="直接连接符 7" o:spid="_x0000_s1032" o:spt="20" style="position:absolute;left:0pt;margin-left:-4.85pt;margin-top:2.1pt;height:33.75pt;width:276.65pt;z-index:251665408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</w:p>
          <w:p>
            <w:pPr>
              <w:spacing w:line="276" w:lineRule="auto"/>
              <w:ind w:firstLine="442" w:firstLineChars="200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级别</w:t>
            </w:r>
          </w:p>
        </w:tc>
        <w:tc>
          <w:tcPr>
            <w:tcW w:w="1372" w:type="dxa"/>
            <w:gridSpan w:val="2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第1名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或一等奖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第2、3名或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二、三等奖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第4-8名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或优胜奖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5541" w:type="dxa"/>
            <w:vMerge w:val="continue"/>
            <w:tcBorders>
              <w:tl2br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主要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成员</w:t>
            </w:r>
          </w:p>
        </w:tc>
        <w:tc>
          <w:tcPr>
            <w:tcW w:w="663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普通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成员</w:t>
            </w:r>
          </w:p>
        </w:tc>
        <w:tc>
          <w:tcPr>
            <w:tcW w:w="754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主要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成员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普通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成员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主要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成员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普通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highlight w:val="none"/>
                <w:lang w:bidi="en-US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1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  <w:tc>
          <w:tcPr>
            <w:tcW w:w="66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75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1" w:type="dxa"/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省市级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：</w:t>
            </w:r>
          </w:p>
          <w:p>
            <w:pPr>
              <w:spacing w:line="276" w:lineRule="auto"/>
              <w:jc w:val="left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“我的中国梦——立志·修身·博学·报国”主题教育系列活动所属的各项比赛；广东大学生三人篮球比赛、广东省大学生定向越野大赛、第三届广东大学生微电影创作大赛；等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66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75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1" w:type="dxa"/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学校级：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广东工业大学学生篮球、足球联赛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广东工业大学学生排球锦标赛；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广东工业大学乒乓球比赛；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学生足球锦标赛；学生乒乓球团体赛；学生羽毛球团体锦标赛；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“爱我家乡•爱我工大”方言微电影大赛作品；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团支部团体跳绳比赛；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广东工业大学运动会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66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75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41" w:type="dxa"/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学院级：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新生杯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篮球赛、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桁架杯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篮球赛、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大力神杯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拔河比赛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、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学院综合运动会；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定向运动锦标赛；广工十院篮球赛；冬季阳光长跑；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心理话剧大赛、班服设计大赛、宿舍好声音大赛、宿舍形象设计大赛；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校园城市文化游园会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、班级宣传栏设计大赛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；海报设计大赛；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663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75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0.5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b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b/>
          <w:color w:val="auto"/>
          <w:sz w:val="24"/>
          <w:highlight w:val="none"/>
          <w:lang w:bidi="en-US"/>
        </w:rPr>
        <w:t>注：</w:t>
      </w:r>
    </w:p>
    <w:p>
      <w:pPr>
        <w:pStyle w:val="9"/>
        <w:numPr>
          <w:ilvl w:val="0"/>
          <w:numId w:val="8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体育、文体等竞赛活动同一类型项目只取最高得分；</w:t>
      </w:r>
    </w:p>
    <w:p>
      <w:pPr>
        <w:pStyle w:val="9"/>
        <w:numPr>
          <w:ilvl w:val="0"/>
          <w:numId w:val="8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成员排名（负责人、主要成员）需由活动主办方出具证明，否则统一按</w:t>
      </w:r>
      <w:r>
        <w:rPr>
          <w:rFonts w:hint="eastAsia" w:ascii="Times New Roman" w:hAnsi="Times New Roman"/>
          <w:color w:val="auto"/>
          <w:sz w:val="22"/>
          <w:highlight w:val="none"/>
          <w:lang w:bidi="en-US"/>
        </w:rPr>
        <w:t>普通</w:t>
      </w:r>
      <w:r>
        <w:rPr>
          <w:rFonts w:ascii="Times New Roman" w:hAnsi="Times New Roman"/>
          <w:color w:val="auto"/>
          <w:sz w:val="22"/>
          <w:highlight w:val="none"/>
          <w:lang w:bidi="en-US"/>
        </w:rPr>
        <w:t>成员加分；</w:t>
      </w:r>
    </w:p>
    <w:p>
      <w:pPr>
        <w:pStyle w:val="9"/>
        <w:numPr>
          <w:ilvl w:val="0"/>
          <w:numId w:val="8"/>
        </w:numPr>
        <w:spacing w:line="360" w:lineRule="auto"/>
        <w:ind w:firstLineChars="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未尽项目可由各年级按实际情况进行补充，上报学院综合测评领导小组审核后进行对应加分，加分仅在测评学年度有效。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三、发表文学、美术、音乐、摄影等作品，按如下标准加分：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（一）个人作品</w:t>
      </w:r>
    </w:p>
    <w:tbl>
      <w:tblPr>
        <w:tblStyle w:val="6"/>
        <w:tblW w:w="63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0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91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级别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91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国际级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91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91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省级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910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学校级：</w:t>
            </w:r>
          </w:p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作品刊登《工大学子》或《广东工业大学报》</w:t>
            </w:r>
          </w:p>
        </w:tc>
        <w:tc>
          <w:tcPr>
            <w:tcW w:w="141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（二）集体或合作作品</w:t>
      </w:r>
    </w:p>
    <w:tbl>
      <w:tblPr>
        <w:tblStyle w:val="6"/>
        <w:tblW w:w="62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2652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  <w:jc w:val="center"/>
        </w:trPr>
        <w:tc>
          <w:tcPr>
            <w:tcW w:w="1349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级别</w:t>
            </w:r>
          </w:p>
        </w:tc>
        <w:tc>
          <w:tcPr>
            <w:tcW w:w="4938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" w:hRule="atLeast"/>
          <w:jc w:val="center"/>
        </w:trPr>
        <w:tc>
          <w:tcPr>
            <w:tcW w:w="1349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</w:p>
        </w:tc>
        <w:tc>
          <w:tcPr>
            <w:tcW w:w="265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第一作者（或主要成员）</w:t>
            </w:r>
          </w:p>
        </w:tc>
        <w:tc>
          <w:tcPr>
            <w:tcW w:w="228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其他作者（或成员）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国际级</w:t>
            </w:r>
          </w:p>
        </w:tc>
        <w:tc>
          <w:tcPr>
            <w:tcW w:w="265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228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</w:t>
            </w:r>
          </w:p>
        </w:tc>
        <w:tc>
          <w:tcPr>
            <w:tcW w:w="265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228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省级</w:t>
            </w:r>
          </w:p>
        </w:tc>
        <w:tc>
          <w:tcPr>
            <w:tcW w:w="265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4</w:t>
            </w:r>
          </w:p>
        </w:tc>
        <w:tc>
          <w:tcPr>
            <w:tcW w:w="228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学校级</w:t>
            </w:r>
          </w:p>
        </w:tc>
        <w:tc>
          <w:tcPr>
            <w:tcW w:w="2652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2286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b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b/>
          <w:color w:val="auto"/>
          <w:sz w:val="24"/>
          <w:highlight w:val="none"/>
          <w:lang w:bidi="en-US"/>
        </w:rPr>
        <w:t>注：</w:t>
      </w:r>
    </w:p>
    <w:p>
      <w:pPr>
        <w:pStyle w:val="9"/>
        <w:numPr>
          <w:ilvl w:val="0"/>
          <w:numId w:val="9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同一文章（或作品）在不同的刊物上发表，只按最高级别标准加分；</w:t>
      </w:r>
    </w:p>
    <w:p>
      <w:pPr>
        <w:pStyle w:val="9"/>
        <w:numPr>
          <w:ilvl w:val="0"/>
          <w:numId w:val="9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同一内容（项目）参加不同级别的竞赛只按最高标准加分；</w:t>
      </w:r>
    </w:p>
    <w:p>
      <w:pPr>
        <w:pStyle w:val="9"/>
        <w:numPr>
          <w:ilvl w:val="0"/>
          <w:numId w:val="9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体育特招生在体育方面，文艺特招生在文艺、艺术方面的奖项不计加分；</w:t>
      </w:r>
    </w:p>
    <w:p>
      <w:pPr>
        <w:pStyle w:val="9"/>
        <w:numPr>
          <w:ilvl w:val="0"/>
          <w:numId w:val="9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未尽项目可由各年级按实际情况进行补充，上报学院综合测评领导小组审核后进行对应加分，加分仅在测评学年度有效。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四、参加校内外知识（非科技类）、演讲、辩论、征文竞赛活动获奖者，按如下标准加分：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（一）个人项目</w:t>
      </w:r>
      <w:r>
        <w:rPr>
          <w:rFonts w:hint="eastAsia" w:ascii="Times New Roman" w:hAnsi="Times New Roman"/>
          <w:bCs/>
          <w:color w:val="auto"/>
          <w:sz w:val="24"/>
          <w:highlight w:val="none"/>
          <w:lang w:bidi="en-US"/>
        </w:rPr>
        <w:t>（具体比赛以测评学年度期间发生的内容为准）</w:t>
      </w:r>
    </w:p>
    <w:tbl>
      <w:tblPr>
        <w:tblStyle w:val="6"/>
        <w:tblW w:w="92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6"/>
        <w:gridCol w:w="1187"/>
        <w:gridCol w:w="155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0" w:hRule="atLeast"/>
          <w:jc w:val="center"/>
        </w:trPr>
        <w:tc>
          <w:tcPr>
            <w:tcW w:w="5376" w:type="dxa"/>
            <w:tcBorders>
              <w:bottom w:val="single" w:color="auto" w:sz="4" w:space="0"/>
            </w:tcBorders>
          </w:tcPr>
          <w:p>
            <w:pPr>
              <w:spacing w:line="360" w:lineRule="auto"/>
              <w:ind w:firstLine="2761" w:firstLineChars="1250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pict>
                <v:line id="直接连接符 4" o:spid="_x0000_s1033" o:spt="20" style="position:absolute;left:0pt;margin-left:-5.55pt;margin-top:-0.1pt;height:71.15pt;width:267.65pt;z-index:251668480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 xml:space="preserve"> </w:t>
            </w:r>
          </w:p>
          <w:p>
            <w:pPr>
              <w:spacing w:line="360" w:lineRule="auto"/>
              <w:ind w:firstLine="994" w:firstLineChars="450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pict>
                <v:line id="直接连接符 3" o:spid="_x0000_s1034" o:spt="20" style="position:absolute;left:0pt;margin-left:-5.55pt;margin-top:17.65pt;height:30pt;width:267.65pt;z-index:251667456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 分                    获奖等级</w:t>
            </w:r>
          </w:p>
          <w:p>
            <w:pPr>
              <w:spacing w:line="360" w:lineRule="auto"/>
              <w:ind w:firstLine="442" w:firstLineChars="200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级别</w:t>
            </w:r>
          </w:p>
        </w:tc>
        <w:tc>
          <w:tcPr>
            <w:tcW w:w="1187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第1名</w:t>
            </w:r>
          </w:p>
          <w:p>
            <w:pPr>
              <w:spacing w:line="360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或一等奖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第2、3名</w:t>
            </w:r>
          </w:p>
          <w:p>
            <w:pPr>
              <w:spacing w:line="360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或二、三等奖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第4-8名</w:t>
            </w:r>
          </w:p>
          <w:p>
            <w:pPr>
              <w:spacing w:line="360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或优胜奖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76" w:type="dxa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国家级：全国大学生英语竞赛C类；等</w:t>
            </w:r>
          </w:p>
        </w:tc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76" w:type="dxa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省市级：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全国大学生英语竞赛C类广东赛区比赛、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图书馆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杯广东全民英语口说大赛；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第七届广东大学生翻译大赛；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“梦圆南粤 精彩人生”——广东省创业创新故事大赛；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76" w:type="dxa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学校级：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外研社杯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英语演讲大赛校内初赛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“我是党员”微纪实读书征文比赛；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职业规划演讲比赛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；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心理健康教育主题征文；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英语词汇达人大赛；学校辩论赛；等</w:t>
            </w:r>
          </w:p>
        </w:tc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76" w:type="dxa"/>
          </w:tcPr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学院级：</w:t>
            </w:r>
          </w:p>
          <w:p>
            <w:pPr>
              <w:spacing w:line="276" w:lineRule="auto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第</w:t>
            </w:r>
            <w:r>
              <w:rPr>
                <w:rFonts w:hint="eastAsia"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二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届大学生职业生涯规划大赛；“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新生杯</w:t>
            </w:r>
            <w:r>
              <w:rPr>
                <w:rFonts w:hint="eastAsia" w:ascii="Times New Roman" w:hAnsi="Times New Roman"/>
                <w:color w:val="auto"/>
                <w:sz w:val="22"/>
                <w:highlight w:val="none"/>
                <w:lang w:bidi="en-US"/>
              </w:rPr>
              <w:t>”</w:t>
            </w: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辩论赛</w:t>
            </w:r>
            <w:r>
              <w:rPr>
                <w:rFonts w:hint="eastAsia"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；</w:t>
            </w:r>
            <w:r>
              <w:rPr>
                <w:rFonts w:hint="eastAsia" w:ascii="Times New Roman" w:hAnsi="Times New Roman"/>
                <w:b w:val="0"/>
                <w:bCs/>
                <w:color w:val="auto"/>
                <w:sz w:val="22"/>
                <w:highlight w:val="none"/>
                <w:lang w:bidi="en-US"/>
              </w:rPr>
              <w:t>宿舍文化节；</w:t>
            </w:r>
            <w:r>
              <w:rPr>
                <w:rFonts w:ascii="Times New Roman" w:hAnsi="Times New Roman"/>
                <w:b w:val="0"/>
                <w:bCs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118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0.5</w:t>
            </w: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（二）集体项目</w:t>
      </w:r>
      <w:r>
        <w:rPr>
          <w:rFonts w:hint="eastAsia" w:ascii="Times New Roman" w:hAnsi="Times New Roman"/>
          <w:bCs/>
          <w:color w:val="auto"/>
          <w:sz w:val="24"/>
          <w:highlight w:val="none"/>
          <w:lang w:bidi="en-US"/>
        </w:rPr>
        <w:t>（具体比赛以测评学年度期间发生的内容为准）</w:t>
      </w:r>
    </w:p>
    <w:tbl>
      <w:tblPr>
        <w:tblStyle w:val="6"/>
        <w:tblW w:w="92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5"/>
        <w:gridCol w:w="764"/>
        <w:gridCol w:w="708"/>
        <w:gridCol w:w="709"/>
        <w:gridCol w:w="709"/>
        <w:gridCol w:w="709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4965" w:type="dxa"/>
            <w:vMerge w:val="restart"/>
          </w:tcPr>
          <w:p>
            <w:pPr>
              <w:spacing w:line="276" w:lineRule="auto"/>
              <w:ind w:firstLine="2771" w:firstLineChars="1150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highlight w:val="none"/>
              </w:rPr>
              <w:pict>
                <v:line id="直接连接符 6" o:spid="_x0000_s1035" o:spt="20" style="position:absolute;left:0pt;margin-left:-5.15pt;margin-top:0.85pt;height:70.5pt;width:247.4pt;z-index:251663360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</w:p>
          <w:p>
            <w:pPr>
              <w:spacing w:line="276" w:lineRule="auto"/>
              <w:ind w:firstLine="442" w:firstLineChars="200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加分</w:t>
            </w:r>
            <w:r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  <w:t xml:space="preserve"> </w:t>
            </w: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 xml:space="preserve">                   获奖等级 </w:t>
            </w:r>
          </w:p>
          <w:p>
            <w:pPr>
              <w:spacing w:line="276" w:lineRule="auto"/>
              <w:ind w:firstLine="663" w:firstLineChars="300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</w:rPr>
              <w:pict>
                <v:line id="直接连接符 5" o:spid="_x0000_s1036" o:spt="20" style="position:absolute;left:0pt;margin-left:-5.15pt;margin-top:4.7pt;height:30.75pt;width:247.4pt;z-index:251666432;mso-width-relative:page;mso-height-relative:page;" o:preferrelative="t" coordsize="21600,21600">
                  <v:path arrowok="t"/>
                  <v:fill focussize="0,0"/>
                  <v:stroke miterlimit="2"/>
                  <v:imagedata o:title=""/>
                  <o:lock v:ext="edit"/>
                </v:line>
              </w:pict>
            </w:r>
          </w:p>
          <w:p>
            <w:pPr>
              <w:spacing w:line="276" w:lineRule="auto"/>
              <w:ind w:firstLine="110" w:firstLineChars="50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单位等级</w:t>
            </w:r>
          </w:p>
        </w:tc>
        <w:tc>
          <w:tcPr>
            <w:tcW w:w="1472" w:type="dxa"/>
            <w:gridSpan w:val="2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第1名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或一等奖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第2、3名或二、三等奖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第4-8名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或优胜奖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965" w:type="dxa"/>
            <w:vMerge w:val="continue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4"/>
                <w:highlight w:val="none"/>
                <w:lang w:bidi="en-US"/>
              </w:rPr>
            </w:pPr>
          </w:p>
        </w:tc>
        <w:tc>
          <w:tcPr>
            <w:tcW w:w="764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主要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成员</w:t>
            </w:r>
          </w:p>
        </w:tc>
        <w:tc>
          <w:tcPr>
            <w:tcW w:w="708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普通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成员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主要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成员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普通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成员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主要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成员</w:t>
            </w:r>
          </w:p>
        </w:tc>
        <w:tc>
          <w:tcPr>
            <w:tcW w:w="708" w:type="dxa"/>
            <w:vAlign w:val="center"/>
          </w:tcPr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普通</w:t>
            </w:r>
          </w:p>
          <w:p>
            <w:pPr>
              <w:spacing w:line="276" w:lineRule="auto"/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/>
                <w:color w:val="auto"/>
                <w:sz w:val="22"/>
                <w:highlight w:val="none"/>
                <w:lang w:bidi="en-US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4965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国家级</w:t>
            </w:r>
          </w:p>
        </w:tc>
        <w:tc>
          <w:tcPr>
            <w:tcW w:w="764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8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4965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省市级</w:t>
            </w:r>
          </w:p>
        </w:tc>
        <w:tc>
          <w:tcPr>
            <w:tcW w:w="764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6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color w:val="auto"/>
                <w:sz w:val="22"/>
                <w:highlight w:val="none"/>
                <w:lang w:bidi="en-US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4965" w:type="dxa"/>
            <w:tcBorders>
              <w:bottom w:val="single" w:color="auto" w:sz="4" w:space="0"/>
            </w:tcBorders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学校级：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校级红十字会医疗知识竞赛、青春健康知识竞赛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心理健康联络员助人技能大赛、心理调研大赛；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心理情景剧大赛；心理漫画大赛；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学校辩论赛；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学生宿舍文化建设主题活动；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优良班风建设大赛；主题团日活动评比大赛；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764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3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708" w:type="dxa"/>
            <w:tcBorders>
              <w:bottom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jc w:val="center"/>
        </w:trPr>
        <w:tc>
          <w:tcPr>
            <w:tcW w:w="4965" w:type="dxa"/>
          </w:tcPr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学院级：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心理知识竞赛、心理话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情景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剧大赛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、征文比赛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医疗知识竞赛、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节能环保知识竞赛；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节协照片故事比赛、宿舍DIY比赛；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“新生杯”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辩论赛、</w:t>
            </w: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优良班风设计规划大赛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；</w:t>
            </w:r>
          </w:p>
          <w:p>
            <w:pPr>
              <w:spacing w:line="276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hint="eastAsia"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主题团日活动评比大赛；宿舍文化节；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等</w:t>
            </w:r>
          </w:p>
        </w:tc>
        <w:tc>
          <w:tcPr>
            <w:tcW w:w="764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2</w:t>
            </w:r>
          </w:p>
        </w:tc>
        <w:tc>
          <w:tcPr>
            <w:tcW w:w="70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1.5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709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1</w:t>
            </w:r>
          </w:p>
        </w:tc>
        <w:tc>
          <w:tcPr>
            <w:tcW w:w="708" w:type="dxa"/>
            <w:vAlign w:val="center"/>
          </w:tcPr>
          <w:p>
            <w:pPr>
              <w:spacing w:line="276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</w:pPr>
            <w:r>
              <w:rPr>
                <w:rFonts w:ascii="Times New Roman" w:hAnsi="Times New Roman"/>
                <w:b w:val="0"/>
                <w:bCs w:val="0"/>
                <w:color w:val="auto"/>
                <w:sz w:val="22"/>
                <w:highlight w:val="none"/>
                <w:lang w:bidi="en-US"/>
              </w:rPr>
              <w:t>0.5</w:t>
            </w:r>
          </w:p>
        </w:tc>
      </w:tr>
    </w:tbl>
    <w:p>
      <w:pPr>
        <w:spacing w:line="360" w:lineRule="auto"/>
        <w:ind w:firstLine="482" w:firstLineChars="200"/>
        <w:rPr>
          <w:rFonts w:ascii="Times New Roman" w:hAnsi="Times New Roman"/>
          <w:b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b/>
          <w:color w:val="auto"/>
          <w:sz w:val="24"/>
          <w:highlight w:val="none"/>
          <w:lang w:bidi="en-US"/>
        </w:rPr>
        <w:t>注：</w:t>
      </w:r>
    </w:p>
    <w:p>
      <w:pPr>
        <w:pStyle w:val="9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成员排名（负责人、主要成员）需由主办方出具证明，否则统一按</w:t>
      </w:r>
      <w:r>
        <w:rPr>
          <w:rFonts w:hint="eastAsia" w:ascii="Times New Roman" w:hAnsi="Times New Roman"/>
          <w:color w:val="auto"/>
          <w:sz w:val="22"/>
          <w:highlight w:val="none"/>
          <w:lang w:bidi="en-US"/>
        </w:rPr>
        <w:t>普通</w:t>
      </w:r>
      <w:r>
        <w:rPr>
          <w:rFonts w:ascii="Times New Roman" w:hAnsi="Times New Roman"/>
          <w:color w:val="auto"/>
          <w:sz w:val="22"/>
          <w:highlight w:val="none"/>
          <w:lang w:bidi="en-US"/>
        </w:rPr>
        <w:t>成员加分；</w:t>
      </w:r>
    </w:p>
    <w:p>
      <w:pPr>
        <w:pStyle w:val="9"/>
        <w:numPr>
          <w:ilvl w:val="0"/>
          <w:numId w:val="10"/>
        </w:numPr>
        <w:spacing w:line="360" w:lineRule="auto"/>
        <w:ind w:firstLineChars="0"/>
        <w:rPr>
          <w:rFonts w:ascii="Times New Roman" w:hAnsi="Times New Roman"/>
          <w:color w:val="auto"/>
          <w:sz w:val="22"/>
          <w:highlight w:val="none"/>
          <w:lang w:bidi="en-US"/>
        </w:rPr>
      </w:pPr>
      <w:r>
        <w:rPr>
          <w:rFonts w:ascii="Times New Roman" w:hAnsi="Times New Roman"/>
          <w:color w:val="auto"/>
          <w:sz w:val="22"/>
          <w:highlight w:val="none"/>
          <w:lang w:bidi="en-US"/>
        </w:rPr>
        <w:t>未尽项目可由各年级按实际情况进行补充，上报学院综合测评领导小组审核后进行对应加分，加分仅在测评学年度有效。</w:t>
      </w:r>
    </w:p>
    <w:p>
      <w:pPr>
        <w:spacing w:line="360" w:lineRule="auto"/>
        <w:rPr>
          <w:rFonts w:ascii="Times New Roman" w:hAnsi="Times New Roman"/>
          <w:color w:val="auto"/>
          <w:sz w:val="24"/>
          <w:highlight w:val="none"/>
          <w:lang w:bidi="en-US"/>
        </w:rPr>
      </w:pPr>
    </w:p>
    <w:p>
      <w:pPr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  <w:highlight w:val="none"/>
          <w:lang w:bidi="en-US"/>
        </w:rPr>
      </w:pPr>
      <w:r>
        <w:rPr>
          <w:rFonts w:ascii="Times New Roman" w:hAnsi="Times New Roman"/>
          <w:b/>
          <w:color w:val="auto"/>
          <w:sz w:val="28"/>
          <w:szCs w:val="28"/>
          <w:highlight w:val="none"/>
          <w:lang w:bidi="en-US"/>
        </w:rPr>
        <w:t>附  则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一、</w:t>
      </w:r>
      <w:r>
        <w:rPr>
          <w:rFonts w:hint="eastAsia" w:ascii="Times New Roman" w:hAnsi="Times New Roman"/>
          <w:color w:val="auto"/>
          <w:sz w:val="24"/>
          <w:highlight w:val="none"/>
          <w:lang w:bidi="en-US"/>
        </w:rPr>
        <w:t>本次综合测评的学年度时间为2016年9月至2017年8月</w:t>
      </w:r>
      <w:bookmarkStart w:id="0" w:name="_GoBack"/>
      <w:bookmarkEnd w:id="0"/>
      <w:r>
        <w:rPr>
          <w:rFonts w:hint="eastAsia" w:ascii="Times New Roman" w:hAnsi="Times New Roman"/>
          <w:color w:val="auto"/>
          <w:sz w:val="24"/>
          <w:highlight w:val="none"/>
          <w:lang w:bidi="en-US"/>
        </w:rPr>
        <w:t>，如果在此期间参与的比赛或者荣誉评比等活动，在学院要求提交有关测评材料的截止日期前仍未有官方结果公布的，所获荣誉顺延至下一学年的综合测评中进行相应的加分。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二、本细则加分均需相关证明、获奖证书等复印件，无有效纸质证明地可提供网上学校表彰公文或公告，相关证明文件在测评学年度有效。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三、若学院内外各级各类团学组织、社团等单位出具的加分证明与学校综合测评有关规定、本细则存在明显矛盾时，各年级有权根据实际情况调整实际加分并报学院审批。</w:t>
      </w:r>
    </w:p>
    <w:p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hint="eastAsia" w:ascii="Times New Roman" w:hAnsi="Times New Roman"/>
          <w:color w:val="auto"/>
          <w:sz w:val="24"/>
          <w:highlight w:val="none"/>
          <w:lang w:bidi="en-US"/>
        </w:rPr>
        <w:t>四、</w:t>
      </w:r>
      <w:r>
        <w:rPr>
          <w:rFonts w:ascii="Times New Roman" w:hAnsi="Times New Roman"/>
          <w:color w:val="auto"/>
          <w:sz w:val="24"/>
          <w:highlight w:val="none"/>
          <w:lang w:bidi="en-US"/>
        </w:rPr>
        <w:t>本细则由各年级参照执行，解释权归土木与交通工程学院学生工作办公室所有。</w:t>
      </w:r>
    </w:p>
    <w:p>
      <w:pPr>
        <w:spacing w:line="360" w:lineRule="auto"/>
        <w:jc w:val="right"/>
        <w:rPr>
          <w:rFonts w:ascii="Times New Roman" w:hAnsi="Times New Roman"/>
          <w:color w:val="auto"/>
          <w:sz w:val="24"/>
          <w:highlight w:val="none"/>
          <w:lang w:bidi="en-US"/>
        </w:rPr>
      </w:pPr>
    </w:p>
    <w:p>
      <w:pPr>
        <w:spacing w:line="360" w:lineRule="auto"/>
        <w:jc w:val="right"/>
        <w:rPr>
          <w:rFonts w:ascii="Times New Roman" w:hAnsi="Times New Roman"/>
          <w:color w:val="auto"/>
          <w:sz w:val="24"/>
          <w:highlight w:val="none"/>
          <w:lang w:bidi="en-US"/>
        </w:rPr>
      </w:pPr>
    </w:p>
    <w:p>
      <w:pPr>
        <w:spacing w:line="360" w:lineRule="auto"/>
        <w:jc w:val="right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ascii="Times New Roman" w:hAnsi="Times New Roman"/>
          <w:color w:val="auto"/>
          <w:sz w:val="24"/>
          <w:highlight w:val="none"/>
          <w:lang w:bidi="en-US"/>
        </w:rPr>
        <w:t>广东工业大学土木与交通工程学院</w:t>
      </w:r>
    </w:p>
    <w:p>
      <w:pPr>
        <w:spacing w:line="360" w:lineRule="auto"/>
        <w:ind w:right="480"/>
        <w:rPr>
          <w:rFonts w:ascii="Times New Roman" w:hAnsi="Times New Roman"/>
          <w:color w:val="auto"/>
          <w:sz w:val="24"/>
          <w:highlight w:val="none"/>
          <w:lang w:bidi="en-US"/>
        </w:rPr>
      </w:pPr>
      <w:r>
        <w:rPr>
          <w:rFonts w:hint="eastAsia" w:ascii="Times New Roman" w:hAnsi="Times New Roman"/>
          <w:color w:val="auto"/>
          <w:sz w:val="24"/>
          <w:highlight w:val="none"/>
          <w:lang w:bidi="en-US"/>
        </w:rPr>
        <w:t xml:space="preserve">                                                     </w:t>
      </w:r>
      <w:r>
        <w:rPr>
          <w:rFonts w:ascii="Times New Roman" w:hAnsi="Times New Roman"/>
          <w:color w:val="auto"/>
          <w:sz w:val="24"/>
          <w:highlight w:val="none"/>
          <w:lang w:bidi="en-US"/>
        </w:rPr>
        <w:t>201</w:t>
      </w:r>
      <w:r>
        <w:rPr>
          <w:rFonts w:hint="eastAsia" w:ascii="Times New Roman" w:hAnsi="Times New Roman"/>
          <w:color w:val="auto"/>
          <w:sz w:val="24"/>
          <w:highlight w:val="none"/>
          <w:lang w:bidi="en-US"/>
        </w:rPr>
        <w:t>7</w:t>
      </w:r>
      <w:r>
        <w:rPr>
          <w:rFonts w:ascii="Times New Roman" w:hAnsi="Times New Roman"/>
          <w:color w:val="auto"/>
          <w:sz w:val="24"/>
          <w:highlight w:val="none"/>
          <w:lang w:bidi="en-US"/>
        </w:rPr>
        <w:t>年</w:t>
      </w:r>
      <w:r>
        <w:rPr>
          <w:rFonts w:hint="eastAsia" w:ascii="Times New Roman" w:hAnsi="Times New Roman"/>
          <w:color w:val="auto"/>
          <w:sz w:val="24"/>
          <w:highlight w:val="none"/>
          <w:lang w:val="en-US" w:eastAsia="zh-CN" w:bidi="en-US"/>
        </w:rPr>
        <w:t>7</w:t>
      </w:r>
      <w:r>
        <w:rPr>
          <w:rFonts w:ascii="Times New Roman" w:hAnsi="Times New Roman"/>
          <w:color w:val="auto"/>
          <w:sz w:val="24"/>
          <w:highlight w:val="none"/>
          <w:lang w:bidi="en-US"/>
        </w:rPr>
        <w:t>月</w:t>
      </w:r>
    </w:p>
    <w:sectPr>
      <w:pgSz w:w="11906" w:h="16838"/>
      <w:pgMar w:top="1701" w:right="1531" w:bottom="170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E408A"/>
    <w:multiLevelType w:val="multilevel"/>
    <w:tmpl w:val="192E408A"/>
    <w:lvl w:ilvl="0" w:tentative="0">
      <w:start w:val="1"/>
      <w:numFmt w:val="bullet"/>
      <w:lvlText w:val=""/>
      <w:lvlJc w:val="left"/>
      <w:pPr>
        <w:ind w:left="138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2" w:hanging="420"/>
      </w:pPr>
      <w:rPr>
        <w:rFonts w:hint="default" w:ascii="Wingdings" w:hAnsi="Wingdings"/>
      </w:rPr>
    </w:lvl>
  </w:abstractNum>
  <w:abstractNum w:abstractNumId="1">
    <w:nsid w:val="210627EC"/>
    <w:multiLevelType w:val="multilevel"/>
    <w:tmpl w:val="210627EC"/>
    <w:lvl w:ilvl="0" w:tentative="0">
      <w:start w:val="1"/>
      <w:numFmt w:val="bullet"/>
      <w:lvlText w:val=""/>
      <w:lvlJc w:val="left"/>
      <w:pPr>
        <w:ind w:left="134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6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8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2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4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6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8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02" w:hanging="420"/>
      </w:pPr>
      <w:rPr>
        <w:rFonts w:hint="default" w:ascii="Wingdings" w:hAnsi="Wingdings"/>
      </w:rPr>
    </w:lvl>
  </w:abstractNum>
  <w:abstractNum w:abstractNumId="2">
    <w:nsid w:val="2A164AF1"/>
    <w:multiLevelType w:val="multilevel"/>
    <w:tmpl w:val="2A164AF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12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2ADA2D2C"/>
    <w:multiLevelType w:val="multilevel"/>
    <w:tmpl w:val="2ADA2D2C"/>
    <w:lvl w:ilvl="0" w:tentative="0">
      <w:start w:val="1"/>
      <w:numFmt w:val="bullet"/>
      <w:lvlText w:val=""/>
      <w:lvlJc w:val="left"/>
      <w:pPr>
        <w:ind w:left="138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2" w:hanging="420"/>
      </w:pPr>
      <w:rPr>
        <w:rFonts w:hint="default" w:ascii="Wingdings" w:hAnsi="Wingdings"/>
      </w:rPr>
    </w:lvl>
  </w:abstractNum>
  <w:abstractNum w:abstractNumId="4">
    <w:nsid w:val="326341F6"/>
    <w:multiLevelType w:val="multilevel"/>
    <w:tmpl w:val="326341F6"/>
    <w:lvl w:ilvl="0" w:tentative="0">
      <w:start w:val="1"/>
      <w:numFmt w:val="bullet"/>
      <w:lvlText w:val=""/>
      <w:lvlJc w:val="left"/>
      <w:pPr>
        <w:ind w:left="138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2" w:hanging="420"/>
      </w:pPr>
      <w:rPr>
        <w:rFonts w:hint="default" w:ascii="Wingdings" w:hAnsi="Wingdings"/>
      </w:rPr>
    </w:lvl>
  </w:abstractNum>
  <w:abstractNum w:abstractNumId="5">
    <w:nsid w:val="3E475AB7"/>
    <w:multiLevelType w:val="multilevel"/>
    <w:tmpl w:val="3E475AB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6">
    <w:nsid w:val="4B856AF9"/>
    <w:multiLevelType w:val="multilevel"/>
    <w:tmpl w:val="4B856AF9"/>
    <w:lvl w:ilvl="0" w:tentative="0">
      <w:start w:val="1"/>
      <w:numFmt w:val="bullet"/>
      <w:lvlText w:val=""/>
      <w:lvlJc w:val="left"/>
      <w:pPr>
        <w:ind w:left="134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6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8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0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2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4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6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8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02" w:hanging="420"/>
      </w:pPr>
      <w:rPr>
        <w:rFonts w:hint="default" w:ascii="Wingdings" w:hAnsi="Wingdings"/>
      </w:rPr>
    </w:lvl>
  </w:abstractNum>
  <w:abstractNum w:abstractNumId="7">
    <w:nsid w:val="533840C9"/>
    <w:multiLevelType w:val="multilevel"/>
    <w:tmpl w:val="533840C9"/>
    <w:lvl w:ilvl="0" w:tentative="0">
      <w:start w:val="1"/>
      <w:numFmt w:val="bullet"/>
      <w:lvlText w:val=""/>
      <w:lvlJc w:val="left"/>
      <w:pPr>
        <w:ind w:left="130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2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4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6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8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0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2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4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62" w:hanging="420"/>
      </w:pPr>
      <w:rPr>
        <w:rFonts w:hint="default" w:ascii="Wingdings" w:hAnsi="Wingdings"/>
      </w:rPr>
    </w:lvl>
  </w:abstractNum>
  <w:abstractNum w:abstractNumId="8">
    <w:nsid w:val="58FA2813"/>
    <w:multiLevelType w:val="multilevel"/>
    <w:tmpl w:val="58FA2813"/>
    <w:lvl w:ilvl="0" w:tentative="0">
      <w:start w:val="1"/>
      <w:numFmt w:val="bullet"/>
      <w:lvlText w:val=""/>
      <w:lvlJc w:val="left"/>
      <w:pPr>
        <w:ind w:left="130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2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4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6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8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0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2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4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62" w:hanging="420"/>
      </w:pPr>
      <w:rPr>
        <w:rFonts w:hint="default" w:ascii="Wingdings" w:hAnsi="Wingdings"/>
      </w:rPr>
    </w:lvl>
  </w:abstractNum>
  <w:abstractNum w:abstractNumId="9">
    <w:nsid w:val="6847409F"/>
    <w:multiLevelType w:val="multilevel"/>
    <w:tmpl w:val="6847409F"/>
    <w:lvl w:ilvl="0" w:tentative="0">
      <w:start w:val="1"/>
      <w:numFmt w:val="bullet"/>
      <w:lvlText w:val=""/>
      <w:lvlJc w:val="left"/>
      <w:pPr>
        <w:ind w:left="12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7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1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8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2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40" w:hanging="420"/>
      </w:pPr>
      <w:rPr>
        <w:rFonts w:hint="default" w:ascii="Wingdings" w:hAnsi="Wingdings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38F2"/>
    <w:rsid w:val="00000867"/>
    <w:rsid w:val="000452C4"/>
    <w:rsid w:val="00051BFE"/>
    <w:rsid w:val="00072CB9"/>
    <w:rsid w:val="000C04CD"/>
    <w:rsid w:val="00105BAC"/>
    <w:rsid w:val="00151BA7"/>
    <w:rsid w:val="00187FAA"/>
    <w:rsid w:val="001B051A"/>
    <w:rsid w:val="002006BD"/>
    <w:rsid w:val="0021634E"/>
    <w:rsid w:val="00223EC1"/>
    <w:rsid w:val="00236E22"/>
    <w:rsid w:val="00275572"/>
    <w:rsid w:val="002838F2"/>
    <w:rsid w:val="002B53BF"/>
    <w:rsid w:val="002C702F"/>
    <w:rsid w:val="002D3E1B"/>
    <w:rsid w:val="002F2610"/>
    <w:rsid w:val="00333263"/>
    <w:rsid w:val="00341418"/>
    <w:rsid w:val="00343127"/>
    <w:rsid w:val="00392AA7"/>
    <w:rsid w:val="0039721B"/>
    <w:rsid w:val="00490ED9"/>
    <w:rsid w:val="004D1390"/>
    <w:rsid w:val="004F0EB2"/>
    <w:rsid w:val="005143AF"/>
    <w:rsid w:val="00535997"/>
    <w:rsid w:val="00574C4A"/>
    <w:rsid w:val="006344FE"/>
    <w:rsid w:val="006638FF"/>
    <w:rsid w:val="00681F51"/>
    <w:rsid w:val="00703305"/>
    <w:rsid w:val="007241FE"/>
    <w:rsid w:val="00732022"/>
    <w:rsid w:val="00775732"/>
    <w:rsid w:val="007A67B2"/>
    <w:rsid w:val="007B68A5"/>
    <w:rsid w:val="0081429C"/>
    <w:rsid w:val="00857EBA"/>
    <w:rsid w:val="00881DB3"/>
    <w:rsid w:val="00883D9E"/>
    <w:rsid w:val="0089277E"/>
    <w:rsid w:val="008A1654"/>
    <w:rsid w:val="008A4CE1"/>
    <w:rsid w:val="008F3021"/>
    <w:rsid w:val="00941FC8"/>
    <w:rsid w:val="00950731"/>
    <w:rsid w:val="009A1F47"/>
    <w:rsid w:val="009B0B68"/>
    <w:rsid w:val="009E0718"/>
    <w:rsid w:val="00AB0EF9"/>
    <w:rsid w:val="00AC622A"/>
    <w:rsid w:val="00AF4BAE"/>
    <w:rsid w:val="00B05CFE"/>
    <w:rsid w:val="00B070D9"/>
    <w:rsid w:val="00B25CCE"/>
    <w:rsid w:val="00B26B93"/>
    <w:rsid w:val="00B96305"/>
    <w:rsid w:val="00BF4246"/>
    <w:rsid w:val="00C004DB"/>
    <w:rsid w:val="00C166FD"/>
    <w:rsid w:val="00C409F8"/>
    <w:rsid w:val="00C770FA"/>
    <w:rsid w:val="00D04820"/>
    <w:rsid w:val="00D0603C"/>
    <w:rsid w:val="00D40045"/>
    <w:rsid w:val="00D5461C"/>
    <w:rsid w:val="00D73869"/>
    <w:rsid w:val="00D748F3"/>
    <w:rsid w:val="00DA0FDB"/>
    <w:rsid w:val="00DC5FD4"/>
    <w:rsid w:val="00DE6BED"/>
    <w:rsid w:val="00EA3175"/>
    <w:rsid w:val="00EB51DE"/>
    <w:rsid w:val="00EB5E67"/>
    <w:rsid w:val="00F1383E"/>
    <w:rsid w:val="00F93D66"/>
    <w:rsid w:val="00F94CBB"/>
    <w:rsid w:val="00FC3AAE"/>
    <w:rsid w:val="01E272A3"/>
    <w:rsid w:val="02382230"/>
    <w:rsid w:val="029F26B8"/>
    <w:rsid w:val="02A041DE"/>
    <w:rsid w:val="035770FD"/>
    <w:rsid w:val="061E1E87"/>
    <w:rsid w:val="09372D51"/>
    <w:rsid w:val="09BA02A1"/>
    <w:rsid w:val="0A95229F"/>
    <w:rsid w:val="0AD53DD3"/>
    <w:rsid w:val="0BC45DDE"/>
    <w:rsid w:val="0BCC1315"/>
    <w:rsid w:val="0F3F5F11"/>
    <w:rsid w:val="14FB49A5"/>
    <w:rsid w:val="1836716A"/>
    <w:rsid w:val="1E0243BE"/>
    <w:rsid w:val="219D0F31"/>
    <w:rsid w:val="257C7D47"/>
    <w:rsid w:val="26527C90"/>
    <w:rsid w:val="265E5200"/>
    <w:rsid w:val="27B614E1"/>
    <w:rsid w:val="2ABD628F"/>
    <w:rsid w:val="2D4A15DA"/>
    <w:rsid w:val="2F562170"/>
    <w:rsid w:val="31C50FA9"/>
    <w:rsid w:val="33CF4D0C"/>
    <w:rsid w:val="359E5ED2"/>
    <w:rsid w:val="38AB1707"/>
    <w:rsid w:val="3C0D1C57"/>
    <w:rsid w:val="4775263F"/>
    <w:rsid w:val="490B63E4"/>
    <w:rsid w:val="4B146E98"/>
    <w:rsid w:val="4BE021FE"/>
    <w:rsid w:val="4D516BD5"/>
    <w:rsid w:val="54A543DD"/>
    <w:rsid w:val="58D418C8"/>
    <w:rsid w:val="58E90C47"/>
    <w:rsid w:val="5C5A1DDF"/>
    <w:rsid w:val="5D7E1DE5"/>
    <w:rsid w:val="61B73BDF"/>
    <w:rsid w:val="631655E9"/>
    <w:rsid w:val="63863382"/>
    <w:rsid w:val="65827F94"/>
    <w:rsid w:val="68954284"/>
    <w:rsid w:val="697350B0"/>
    <w:rsid w:val="6A6B4798"/>
    <w:rsid w:val="7E2D000F"/>
    <w:rsid w:val="7F09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样式16"/>
    <w:basedOn w:val="1"/>
    <w:qFormat/>
    <w:uiPriority w:val="0"/>
    <w:pPr>
      <w:widowControl/>
      <w:tabs>
        <w:tab w:val="left" w:pos="420"/>
        <w:tab w:val="left" w:pos="1365"/>
        <w:tab w:val="left" w:pos="1575"/>
      </w:tabs>
      <w:adjustRightInd w:val="0"/>
      <w:snapToGrid w:val="0"/>
      <w:spacing w:line="340" w:lineRule="exact"/>
      <w:ind w:firstLine="480" w:firstLineChars="200"/>
    </w:pPr>
    <w:rPr>
      <w:rFonts w:ascii="宋体" w:hAnsi="宋体"/>
      <w:kern w:val="0"/>
      <w:sz w:val="24"/>
      <w:szCs w:val="20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SkyUN.Org</Company>
  <Pages>23</Pages>
  <Words>2063</Words>
  <Characters>11763</Characters>
  <Lines>98</Lines>
  <Paragraphs>27</Paragraphs>
  <ScaleCrop>false</ScaleCrop>
  <LinksUpToDate>false</LinksUpToDate>
  <CharactersWithSpaces>13799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2015-08-03T08:52:00Z</dcterms:created>
  <dc:creator>SkyUN.Org</dc:creator>
  <cp:lastModifiedBy>Administrator</cp:lastModifiedBy>
  <cp:lastPrinted>2017-07-04T07:46:48Z</cp:lastPrinted>
  <dcterms:modified xsi:type="dcterms:W3CDTF">2017-07-04T08:04:23Z</dcterms:modified>
  <dc:title>2014至2015学年度广东工业大学土木与交通工程学院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